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val="left" w:pos="720"/>
          <w:tab w:val="center" w:pos="4320"/>
          <w:tab w:val="right" w:pos="8640"/>
        </w:tabs>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APSTIPRINĀTS</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SIA “DOBELES NAMSAIMNIEKS”</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iepirkumu komisijas sēdē</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20</w:t>
      </w:r>
      <w:r>
        <w:rPr>
          <w:rFonts w:hint="default" w:eastAsia="Times New Roman" w:cs="Times New Roman"/>
          <w:color w:val="auto"/>
          <w:szCs w:val="24"/>
          <w:lang w:eastAsia="ar-SA"/>
        </w:rPr>
        <w:t>20</w:t>
      </w:r>
      <w:r>
        <w:rPr>
          <w:rFonts w:eastAsia="Times New Roman" w:cs="Times New Roman"/>
          <w:color w:val="auto"/>
          <w:szCs w:val="24"/>
          <w:lang w:eastAsia="ar-SA"/>
        </w:rPr>
        <w:t xml:space="preserve">.gada </w:t>
      </w:r>
      <w:r>
        <w:rPr>
          <w:rFonts w:hint="default" w:eastAsia="Times New Roman" w:cs="Times New Roman"/>
          <w:color w:val="auto"/>
          <w:szCs w:val="24"/>
          <w:lang w:eastAsia="ar-SA"/>
        </w:rPr>
        <w:t>11</w:t>
      </w:r>
      <w:r>
        <w:rPr>
          <w:rFonts w:eastAsia="Times New Roman" w:cs="Times New Roman"/>
          <w:color w:val="auto"/>
          <w:szCs w:val="24"/>
          <w:lang w:eastAsia="ar-SA"/>
        </w:rPr>
        <w:t>.</w:t>
      </w:r>
      <w:r>
        <w:rPr>
          <w:rFonts w:hint="default" w:eastAsia="Times New Roman" w:cs="Times New Roman"/>
          <w:color w:val="auto"/>
          <w:szCs w:val="24"/>
          <w:lang w:eastAsia="ar-SA"/>
        </w:rPr>
        <w:t>martā</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Protokols Nr.</w:t>
      </w:r>
      <w:r>
        <w:rPr>
          <w:rFonts w:hint="default" w:eastAsia="Times New Roman" w:cs="Times New Roman"/>
          <w:color w:val="auto"/>
          <w:szCs w:val="24"/>
          <w:lang w:eastAsia="ar-SA"/>
        </w:rPr>
        <w:t>15</w:t>
      </w:r>
    </w:p>
    <w:p>
      <w:pPr>
        <w:suppressAutoHyphens/>
        <w:spacing w:after="0" w:line="240" w:lineRule="auto"/>
        <w:jc w:val="both"/>
        <w:rPr>
          <w:rFonts w:eastAsia="Times New Roman" w:cs="Times New Roman"/>
          <w:color w:val="auto"/>
          <w:szCs w:val="24"/>
          <w:lang w:eastAsia="ar-SA"/>
        </w:rPr>
      </w:pP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Iepirkuma komisijas priekšsēdētāja</w:t>
      </w:r>
    </w:p>
    <w:p>
      <w:pPr>
        <w:suppressAutoHyphens/>
        <w:spacing w:after="0" w:line="240" w:lineRule="auto"/>
        <w:jc w:val="right"/>
        <w:rPr>
          <w:rFonts w:eastAsia="Times New Roman" w:cs="Times New Roman"/>
          <w:color w:val="auto"/>
          <w:szCs w:val="24"/>
          <w:lang w:eastAsia="ar-SA"/>
        </w:rPr>
      </w:pP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________________/G. Freimane/</w:t>
      </w:r>
    </w:p>
    <w:p>
      <w:pPr>
        <w:suppressAutoHyphens/>
        <w:spacing w:after="0" w:line="240" w:lineRule="auto"/>
        <w:jc w:val="both"/>
        <w:rPr>
          <w:rFonts w:eastAsia="Times New Roman" w:cs="Times New Roman"/>
          <w:color w:val="auto"/>
          <w:sz w:val="22"/>
          <w:lang w:eastAsia="ar-SA"/>
        </w:rPr>
      </w:pPr>
    </w:p>
    <w:p>
      <w:pPr>
        <w:suppressAutoHyphens/>
        <w:spacing w:after="0" w:line="240" w:lineRule="auto"/>
        <w:jc w:val="both"/>
        <w:rPr>
          <w:rFonts w:eastAsia="Times New Roman" w:cs="Times New Roman"/>
          <w:color w:val="auto"/>
          <w:sz w:val="22"/>
          <w:lang w:eastAsia="ar-SA"/>
        </w:rPr>
      </w:pPr>
    </w:p>
    <w:p>
      <w:pPr>
        <w:suppressAutoHyphens/>
        <w:spacing w:after="0" w:line="240" w:lineRule="auto"/>
        <w:jc w:val="both"/>
        <w:rPr>
          <w:rFonts w:eastAsia="Times New Roman" w:cs="Times New Roman"/>
          <w:b/>
          <w:bCs/>
          <w:color w:val="auto"/>
          <w:sz w:val="22"/>
          <w:lang w:eastAsia="ar-SA"/>
        </w:rPr>
      </w:pPr>
    </w:p>
    <w:p>
      <w:pPr>
        <w:keepNext/>
        <w:suppressAutoHyphens/>
        <w:spacing w:before="280" w:after="280" w:line="240" w:lineRule="auto"/>
        <w:jc w:val="both"/>
        <w:outlineLvl w:val="1"/>
        <w:rPr>
          <w:rFonts w:eastAsia="Times New Roman" w:cs="Times New Roman"/>
          <w:bCs/>
          <w:color w:val="auto"/>
          <w:sz w:val="28"/>
          <w:szCs w:val="28"/>
          <w:lang w:eastAsia="ar-SA"/>
        </w:rPr>
      </w:pPr>
    </w:p>
    <w:p>
      <w:pPr>
        <w:keepNext/>
        <w:suppressAutoHyphens/>
        <w:spacing w:before="280" w:after="280" w:line="240" w:lineRule="auto"/>
        <w:jc w:val="both"/>
        <w:outlineLvl w:val="1"/>
        <w:rPr>
          <w:rFonts w:eastAsia="Times New Roman" w:cs="Times New Roman"/>
          <w:color w:val="auto"/>
          <w:sz w:val="32"/>
          <w:szCs w:val="32"/>
          <w:lang w:eastAsia="ar-SA"/>
        </w:rPr>
      </w:pPr>
    </w:p>
    <w:p>
      <w:pPr>
        <w:suppressAutoHyphens/>
        <w:spacing w:after="0" w:line="240" w:lineRule="auto"/>
        <w:jc w:val="center"/>
        <w:rPr>
          <w:rFonts w:eastAsia="Times New Roman" w:cs="Times New Roman"/>
          <w:b/>
          <w:color w:val="auto"/>
          <w:sz w:val="36"/>
          <w:szCs w:val="36"/>
          <w:lang w:eastAsia="ar-SA"/>
        </w:rPr>
      </w:pPr>
      <w:r>
        <w:rPr>
          <w:rFonts w:eastAsia="Times New Roman" w:cs="Times New Roman"/>
          <w:b/>
          <w:color w:val="auto"/>
          <w:sz w:val="36"/>
          <w:szCs w:val="36"/>
          <w:lang w:eastAsia="ar-SA"/>
        </w:rPr>
        <w:t>IEPIRKUMA NOLIKUMS</w:t>
      </w:r>
    </w:p>
    <w:p>
      <w:pPr>
        <w:suppressAutoHyphens/>
        <w:spacing w:after="0" w:line="240" w:lineRule="auto"/>
        <w:jc w:val="both"/>
        <w:rPr>
          <w:rFonts w:eastAsia="Times New Roman" w:cs="Times New Roman"/>
          <w:b/>
          <w:color w:val="auto"/>
          <w:sz w:val="32"/>
          <w:szCs w:val="32"/>
          <w:lang w:eastAsia="ar-SA"/>
        </w:rPr>
      </w:pPr>
    </w:p>
    <w:p>
      <w:pPr>
        <w:suppressAutoHyphens/>
        <w:spacing w:after="0" w:line="240" w:lineRule="auto"/>
        <w:jc w:val="both"/>
        <w:rPr>
          <w:rFonts w:eastAsia="Times New Roman" w:cs="Times New Roman"/>
          <w:b/>
          <w:color w:val="auto"/>
          <w:sz w:val="32"/>
          <w:szCs w:val="32"/>
          <w:lang w:eastAsia="ar-SA"/>
        </w:rPr>
      </w:pPr>
    </w:p>
    <w:p>
      <w:pPr>
        <w:suppressAutoHyphens/>
        <w:spacing w:after="0" w:line="240" w:lineRule="auto"/>
        <w:ind w:left="525" w:hanging="525"/>
        <w:jc w:val="center"/>
        <w:rPr>
          <w:rFonts w:eastAsia="Times New Roman" w:cs="Times New Roman"/>
          <w:bCs/>
          <w:color w:val="auto"/>
          <w:sz w:val="28"/>
          <w:szCs w:val="32"/>
          <w:lang w:eastAsia="ar-SA"/>
        </w:rPr>
      </w:pPr>
      <w:r>
        <w:rPr>
          <w:rFonts w:eastAsia="Times New Roman" w:cs="Times New Roman"/>
          <w:bCs/>
          <w:color w:val="auto"/>
          <w:sz w:val="28"/>
          <w:szCs w:val="32"/>
          <w:lang w:eastAsia="ar-SA"/>
        </w:rPr>
        <w:t>Saskaņā ar Publisko iepirkumu likuma 9. pantu</w:t>
      </w:r>
    </w:p>
    <w:p>
      <w:pPr>
        <w:suppressAutoHyphens/>
        <w:spacing w:after="0" w:line="240" w:lineRule="auto"/>
        <w:ind w:left="525" w:hanging="525"/>
        <w:jc w:val="both"/>
        <w:rPr>
          <w:rFonts w:eastAsia="Times New Roman" w:cs="Times New Roman"/>
          <w:bCs/>
          <w:color w:val="auto"/>
          <w:sz w:val="36"/>
          <w:szCs w:val="32"/>
          <w:lang w:eastAsia="ar-SA"/>
        </w:rPr>
      </w:pPr>
    </w:p>
    <w:p>
      <w:pPr>
        <w:suppressAutoHyphens/>
        <w:spacing w:after="0" w:line="240" w:lineRule="auto"/>
        <w:ind w:left="525" w:hanging="525"/>
        <w:jc w:val="both"/>
        <w:rPr>
          <w:rFonts w:eastAsia="Times New Roman" w:cs="Times New Roman"/>
          <w:b/>
          <w:bCs/>
          <w:color w:val="auto"/>
          <w:sz w:val="32"/>
          <w:szCs w:val="32"/>
          <w:lang w:eastAsia="ar-SA"/>
        </w:rPr>
      </w:pPr>
    </w:p>
    <w:p>
      <w:pPr>
        <w:suppressAutoHyphens/>
        <w:spacing w:after="0" w:line="240" w:lineRule="auto"/>
        <w:ind w:left="525" w:hanging="525"/>
        <w:jc w:val="both"/>
        <w:rPr>
          <w:rFonts w:eastAsia="Times New Roman" w:cs="Times New Roman"/>
          <w:b/>
          <w:bCs/>
          <w:color w:val="auto"/>
          <w:sz w:val="36"/>
          <w:szCs w:val="28"/>
          <w:lang w:eastAsia="ar-SA"/>
        </w:rPr>
      </w:pPr>
    </w:p>
    <w:p>
      <w:pPr>
        <w:jc w:val="center"/>
        <w:rPr>
          <w:b/>
          <w:color w:val="auto"/>
          <w:sz w:val="32"/>
          <w:szCs w:val="32"/>
        </w:rPr>
      </w:pPr>
      <w:r>
        <w:rPr>
          <w:rFonts w:eastAsia="Calibri" w:cs="Calibri"/>
          <w:b/>
          <w:i/>
          <w:color w:val="auto"/>
          <w:sz w:val="40"/>
          <w:szCs w:val="36"/>
        </w:rPr>
        <w:t xml:space="preserve"> </w:t>
      </w:r>
      <w:r>
        <w:rPr>
          <w:rFonts w:eastAsia="Calibri" w:cs="Calibri"/>
          <w:b/>
          <w:i/>
          <w:color w:val="auto"/>
          <w:sz w:val="32"/>
          <w:szCs w:val="32"/>
        </w:rPr>
        <w:t>“</w:t>
      </w:r>
      <w:r>
        <w:rPr>
          <w:b/>
          <w:bCs/>
          <w:color w:val="auto"/>
          <w:sz w:val="32"/>
          <w:szCs w:val="32"/>
        </w:rPr>
        <w:t>Elektroapgādes sistēmu mērījumi SIA “DOBELES NAMSAIMNIEKS” apsaimniekojamos objektos</w:t>
      </w:r>
      <w:r>
        <w:rPr>
          <w:b/>
          <w:color w:val="auto"/>
          <w:sz w:val="32"/>
          <w:szCs w:val="32"/>
        </w:rPr>
        <w:t>”</w:t>
      </w: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center"/>
        <w:rPr>
          <w:rFonts w:eastAsia="Times New Roman" w:cs="Times New Roman"/>
          <w:bCs/>
          <w:color w:val="auto"/>
          <w:sz w:val="28"/>
          <w:szCs w:val="28"/>
          <w:lang w:eastAsia="ar-SA"/>
        </w:rPr>
      </w:pPr>
      <w:r>
        <w:rPr>
          <w:rFonts w:eastAsia="Times New Roman" w:cs="Times New Roman"/>
          <w:bCs/>
          <w:color w:val="auto"/>
          <w:sz w:val="28"/>
          <w:szCs w:val="28"/>
          <w:lang w:eastAsia="ar-SA"/>
        </w:rPr>
        <w:t xml:space="preserve">Iepirkuma identifikācijas numurs: </w:t>
      </w:r>
      <w:bookmarkStart w:id="0" w:name="OLE_LINK7"/>
      <w:bookmarkStart w:id="1" w:name="OLE_LINK6"/>
      <w:r>
        <w:rPr>
          <w:rFonts w:eastAsia="Times New Roman" w:cs="Times New Roman"/>
          <w:bCs/>
          <w:color w:val="auto"/>
          <w:sz w:val="28"/>
          <w:szCs w:val="28"/>
          <w:lang w:eastAsia="ar-SA"/>
        </w:rPr>
        <w:t>SIA DN 20</w:t>
      </w:r>
      <w:r>
        <w:rPr>
          <w:rFonts w:hint="default" w:eastAsia="Times New Roman" w:cs="Times New Roman"/>
          <w:bCs/>
          <w:color w:val="auto"/>
          <w:sz w:val="28"/>
          <w:szCs w:val="28"/>
          <w:lang w:eastAsia="ar-SA"/>
        </w:rPr>
        <w:t>20</w:t>
      </w:r>
      <w:r>
        <w:rPr>
          <w:rFonts w:eastAsia="Times New Roman" w:cs="Times New Roman"/>
          <w:bCs/>
          <w:color w:val="auto"/>
          <w:sz w:val="28"/>
          <w:szCs w:val="28"/>
          <w:lang w:eastAsia="ar-SA"/>
        </w:rPr>
        <w:t>/</w:t>
      </w:r>
      <w:bookmarkEnd w:id="0"/>
      <w:bookmarkEnd w:id="1"/>
      <w:r>
        <w:rPr>
          <w:rFonts w:hint="default" w:eastAsia="Times New Roman" w:cs="Times New Roman"/>
          <w:bCs/>
          <w:color w:val="auto"/>
          <w:sz w:val="28"/>
          <w:szCs w:val="28"/>
          <w:lang w:eastAsia="ar-SA"/>
        </w:rPr>
        <w:t>6</w:t>
      </w:r>
    </w:p>
    <w:p>
      <w:pPr>
        <w:suppressAutoHyphens/>
        <w:spacing w:before="280" w:after="280" w:line="480" w:lineRule="auto"/>
        <w:jc w:val="both"/>
        <w:rPr>
          <w:rFonts w:eastAsia="Times New Roman" w:cs="Times New Roman"/>
          <w:color w:val="FF0000"/>
          <w:sz w:val="22"/>
          <w:lang w:eastAsia="ar-SA"/>
        </w:rPr>
      </w:pPr>
    </w:p>
    <w:p>
      <w:pPr>
        <w:suppressAutoHyphens/>
        <w:spacing w:before="280" w:after="280" w:line="480" w:lineRule="auto"/>
        <w:jc w:val="both"/>
        <w:rPr>
          <w:rFonts w:eastAsia="Times New Roman" w:cs="Times New Roman"/>
          <w:color w:val="FF0000"/>
          <w:sz w:val="22"/>
          <w:lang w:eastAsia="ar-SA"/>
        </w:rPr>
      </w:pPr>
    </w:p>
    <w:p>
      <w:pPr>
        <w:suppressAutoHyphens/>
        <w:spacing w:before="280" w:after="280" w:line="480" w:lineRule="auto"/>
        <w:jc w:val="both"/>
        <w:rPr>
          <w:rFonts w:eastAsia="Times New Roman" w:cs="Times New Roman"/>
          <w:color w:val="auto"/>
          <w:sz w:val="22"/>
          <w:lang w:eastAsia="ar-SA"/>
        </w:rPr>
      </w:pPr>
    </w:p>
    <w:p>
      <w:pPr>
        <w:suppressAutoHyphens/>
        <w:spacing w:after="0" w:line="480" w:lineRule="auto"/>
        <w:jc w:val="center"/>
        <w:rPr>
          <w:rFonts w:eastAsia="Times New Roman" w:cs="Times New Roman"/>
          <w:color w:val="auto"/>
          <w:sz w:val="22"/>
          <w:lang w:eastAsia="ar-SA"/>
        </w:rPr>
      </w:pPr>
      <w:r>
        <w:rPr>
          <w:rFonts w:eastAsia="Times New Roman" w:cs="Times New Roman"/>
          <w:color w:val="auto"/>
          <w:sz w:val="22"/>
          <w:lang w:eastAsia="ar-SA"/>
        </w:rPr>
        <w:t>Dobele, 20</w:t>
      </w:r>
      <w:r>
        <w:rPr>
          <w:rFonts w:hint="default" w:eastAsia="Times New Roman" w:cs="Times New Roman"/>
          <w:color w:val="auto"/>
          <w:sz w:val="22"/>
          <w:lang w:eastAsia="ar-SA"/>
        </w:rPr>
        <w:t>20</w:t>
      </w:r>
    </w:p>
    <w:p>
      <w:pPr>
        <w:suppressAutoHyphens/>
        <w:spacing w:after="0" w:line="480" w:lineRule="auto"/>
        <w:jc w:val="center"/>
        <w:rPr>
          <w:rFonts w:eastAsia="Times New Roman" w:cs="Times New Roman"/>
          <w:color w:val="FF0000"/>
          <w:sz w:val="22"/>
          <w:lang w:eastAsia="ar-SA"/>
        </w:rPr>
      </w:pPr>
    </w:p>
    <w:p>
      <w:pPr>
        <w:suppressAutoHyphens/>
        <w:spacing w:after="0" w:line="480" w:lineRule="auto"/>
        <w:jc w:val="center"/>
        <w:rPr>
          <w:rFonts w:eastAsia="Times New Roman" w:cs="Times New Roman"/>
          <w:color w:val="FF0000"/>
          <w:sz w:val="22"/>
          <w:lang w:eastAsia="ar-SA"/>
        </w:rPr>
      </w:pPr>
    </w:p>
    <w:p>
      <w:pPr>
        <w:numPr>
          <w:numId w:val="0"/>
        </w:numPr>
        <w:suppressAutoHyphens/>
        <w:spacing w:after="0" w:line="240" w:lineRule="auto"/>
        <w:ind w:leftChars="0"/>
        <w:contextualSpacing/>
        <w:jc w:val="center"/>
        <w:outlineLvl w:val="1"/>
        <w:rPr>
          <w:rFonts w:eastAsia="Times New Roman" w:cs="Times New Roman"/>
          <w:b/>
          <w:color w:val="auto"/>
          <w:szCs w:val="20"/>
          <w:lang w:val="en-US"/>
        </w:rPr>
      </w:pPr>
      <w:r>
        <w:rPr>
          <w:rFonts w:hint="default" w:eastAsia="Times New Roman" w:cs="Times New Roman"/>
          <w:b/>
          <w:color w:val="auto"/>
          <w:szCs w:val="20"/>
        </w:rPr>
        <w:t>1.</w:t>
      </w:r>
      <w:r>
        <w:rPr>
          <w:rFonts w:eastAsia="Times New Roman" w:cs="Times New Roman"/>
          <w:b/>
          <w:color w:val="auto"/>
          <w:szCs w:val="20"/>
          <w:lang w:val="en-US"/>
        </w:rPr>
        <w:t>Vispārīgā informācija</w:t>
      </w:r>
    </w:p>
    <w:p>
      <w:pPr>
        <w:numPr>
          <w:ilvl w:val="1"/>
          <w:numId w:val="2"/>
        </w:numPr>
        <w:suppressAutoHyphens/>
        <w:spacing w:after="0" w:line="240" w:lineRule="auto"/>
        <w:ind w:left="567" w:leftChars="0" w:hanging="567" w:firstLineChars="0"/>
        <w:contextualSpacing/>
        <w:jc w:val="both"/>
        <w:rPr>
          <w:rFonts w:eastAsia="Times New Roman" w:cs="Times New Roman"/>
          <w:color w:val="auto"/>
          <w:sz w:val="16"/>
          <w:szCs w:val="20"/>
          <w:lang w:val="en-US"/>
        </w:rPr>
      </w:pPr>
      <w:r>
        <w:rPr>
          <w:rFonts w:eastAsia="Times New Roman" w:cs="Times New Roman"/>
          <w:color w:val="auto"/>
          <w:szCs w:val="20"/>
        </w:rPr>
        <w:t>Iepirkuma identifikācijas numurs ir: SIA DN</w:t>
      </w:r>
      <w:r>
        <w:rPr>
          <w:rFonts w:eastAsia="Times New Roman" w:cs="Times New Roman"/>
          <w:bCs/>
          <w:color w:val="auto"/>
          <w:szCs w:val="40"/>
        </w:rPr>
        <w:t xml:space="preserve"> 20</w:t>
      </w:r>
      <w:r>
        <w:rPr>
          <w:rFonts w:hint="default" w:eastAsia="Times New Roman" w:cs="Times New Roman"/>
          <w:bCs/>
          <w:color w:val="auto"/>
          <w:szCs w:val="40"/>
        </w:rPr>
        <w:t>20</w:t>
      </w:r>
      <w:r>
        <w:rPr>
          <w:rFonts w:eastAsia="Times New Roman" w:cs="Times New Roman"/>
          <w:bCs/>
          <w:color w:val="auto"/>
          <w:szCs w:val="40"/>
        </w:rPr>
        <w:t>/</w:t>
      </w:r>
      <w:r>
        <w:rPr>
          <w:rFonts w:hint="default" w:eastAsia="Times New Roman" w:cs="Times New Roman"/>
          <w:bCs/>
          <w:color w:val="auto"/>
          <w:szCs w:val="40"/>
        </w:rPr>
        <w:t>6</w:t>
      </w:r>
      <w:r>
        <w:rPr>
          <w:rFonts w:eastAsia="Times New Roman" w:cs="Times New Roman"/>
          <w:bCs/>
          <w:color w:val="auto"/>
          <w:szCs w:val="40"/>
        </w:rPr>
        <w:t>.</w:t>
      </w:r>
    </w:p>
    <w:p>
      <w:pPr>
        <w:numPr>
          <w:ilvl w:val="1"/>
          <w:numId w:val="2"/>
        </w:numPr>
        <w:suppressAutoHyphens/>
        <w:spacing w:after="0" w:line="240" w:lineRule="auto"/>
        <w:ind w:left="567" w:leftChars="0" w:hanging="567" w:firstLineChars="0"/>
        <w:contextualSpacing/>
        <w:jc w:val="both"/>
        <w:rPr>
          <w:rFonts w:eastAsia="Times New Roman" w:cs="Times New Roman"/>
          <w:color w:val="auto"/>
          <w:szCs w:val="20"/>
          <w:lang w:val="en-US"/>
        </w:rPr>
      </w:pPr>
      <w:r>
        <w:rPr>
          <w:rFonts w:eastAsia="Times New Roman" w:cs="Times New Roman"/>
          <w:color w:val="auto"/>
          <w:szCs w:val="20"/>
        </w:rPr>
        <w:t>Pasūtītājs ir SIA „DOBELES NAMSAIMNIEKS”.</w:t>
      </w:r>
    </w:p>
    <w:p>
      <w:pPr>
        <w:numPr>
          <w:ilvl w:val="1"/>
          <w:numId w:val="2"/>
        </w:numPr>
        <w:suppressAutoHyphens/>
        <w:spacing w:after="0" w:line="240" w:lineRule="auto"/>
        <w:ind w:left="567" w:leftChars="0" w:hanging="567" w:firstLineChars="0"/>
        <w:contextualSpacing/>
        <w:jc w:val="both"/>
        <w:rPr>
          <w:rFonts w:eastAsia="Times New Roman" w:cs="Times New Roman"/>
          <w:iCs/>
          <w:color w:val="auto"/>
          <w:szCs w:val="20"/>
        </w:rPr>
      </w:pPr>
      <w:r>
        <w:rPr>
          <w:rFonts w:eastAsia="Times New Roman" w:cs="Times New Roman"/>
          <w:color w:val="auto"/>
          <w:szCs w:val="20"/>
        </w:rPr>
        <w:t>Iepirkuma kontaktpersonas:</w:t>
      </w:r>
      <w:r>
        <w:rPr>
          <w:rFonts w:eastAsia="Times New Roman" w:cs="Times New Roman"/>
          <w:iCs/>
          <w:color w:val="auto"/>
          <w:szCs w:val="20"/>
        </w:rPr>
        <w:t xml:space="preserve"> par </w:t>
      </w:r>
      <w:r>
        <w:rPr>
          <w:rFonts w:eastAsia="Times New Roman" w:cs="Times New Roman"/>
          <w:color w:val="auto"/>
          <w:szCs w:val="20"/>
        </w:rPr>
        <w:t xml:space="preserve">iepirkuma priekšmetu: SIA „DOBELES NAMSAIMNIEKS” </w:t>
      </w:r>
      <w:r>
        <w:rPr>
          <w:rFonts w:eastAsia="Lucida Sans Unicode" w:cs="Times New Roman"/>
          <w:bCs/>
          <w:color w:val="auto"/>
          <w:kern w:val="1"/>
          <w:szCs w:val="20"/>
          <w:lang w:val="en-US"/>
        </w:rPr>
        <w:t>namu pārzin</w:t>
      </w:r>
      <w:r>
        <w:rPr>
          <w:rFonts w:hint="default" w:eastAsia="Lucida Sans Unicode" w:cs="Times New Roman"/>
          <w:bCs/>
          <w:color w:val="auto"/>
          <w:kern w:val="1"/>
          <w:szCs w:val="20"/>
        </w:rPr>
        <w:t>is</w:t>
      </w:r>
      <w:r>
        <w:rPr>
          <w:rFonts w:eastAsia="Lucida Sans Unicode" w:cs="Times New Roman"/>
          <w:bCs/>
          <w:color w:val="auto"/>
          <w:kern w:val="1"/>
          <w:szCs w:val="20"/>
          <w:lang w:val="en-US"/>
        </w:rPr>
        <w:t xml:space="preserve"> </w:t>
      </w:r>
      <w:r>
        <w:rPr>
          <w:rFonts w:hint="default" w:eastAsia="Lucida Sans Unicode" w:cs="Times New Roman"/>
          <w:bCs/>
          <w:color w:val="auto"/>
          <w:kern w:val="1"/>
          <w:szCs w:val="20"/>
        </w:rPr>
        <w:t>Edgars Kvēps</w:t>
      </w:r>
      <w:r>
        <w:rPr>
          <w:rFonts w:eastAsia="Lucida Sans Unicode" w:cs="Times New Roman"/>
          <w:bCs/>
          <w:color w:val="auto"/>
          <w:kern w:val="1"/>
          <w:szCs w:val="20"/>
          <w:lang w:val="en-US"/>
        </w:rPr>
        <w:t xml:space="preserve">, mobilais telefons </w:t>
      </w:r>
      <w:r>
        <w:rPr>
          <w:rFonts w:hint="default" w:eastAsia="Lucida Sans Unicode" w:cs="Times New Roman"/>
          <w:bCs/>
          <w:color w:val="auto"/>
          <w:kern w:val="1"/>
          <w:szCs w:val="20"/>
        </w:rPr>
        <w:t>26964607</w:t>
      </w:r>
      <w:r>
        <w:rPr>
          <w:rFonts w:eastAsia="Lucida Sans Unicode" w:cs="Times New Roman"/>
          <w:bCs/>
          <w:color w:val="auto"/>
          <w:kern w:val="1"/>
          <w:szCs w:val="20"/>
          <w:lang w:val="en-US"/>
        </w:rPr>
        <w:t xml:space="preserve">, e-pasts: </w:t>
      </w:r>
      <w:r>
        <w:rPr>
          <w:color w:val="auto"/>
        </w:rPr>
        <w:fldChar w:fldCharType="begin"/>
      </w:r>
      <w:r>
        <w:rPr>
          <w:color w:val="auto"/>
        </w:rPr>
        <w:instrText xml:space="preserve">HYPERLINK "mailto:namuparzinis@dobelesnamsaimnieks.lv" </w:instrText>
      </w:r>
      <w:r>
        <w:rPr>
          <w:color w:val="auto"/>
        </w:rPr>
        <w:fldChar w:fldCharType="separate"/>
      </w:r>
      <w:r>
        <w:rPr>
          <w:rStyle w:val="7"/>
          <w:rFonts w:eastAsia="Calibri" w:cs="Times New Roman"/>
          <w:color w:val="auto"/>
          <w:kern w:val="1"/>
          <w:szCs w:val="20"/>
          <w:lang w:val="en-US" w:bidi="en-US"/>
        </w:rPr>
        <w:t>namuparzinis@dobelesnamsaimnieks.lv</w:t>
      </w:r>
      <w:r>
        <w:rPr>
          <w:color w:val="auto"/>
        </w:rPr>
        <w:fldChar w:fldCharType="end"/>
      </w:r>
      <w:r>
        <w:rPr>
          <w:rFonts w:eastAsia="Lucida Sans Unicode" w:cs="Times New Roman"/>
          <w:color w:val="auto"/>
          <w:kern w:val="1"/>
          <w:szCs w:val="20"/>
          <w:lang w:val="en-US"/>
        </w:rPr>
        <w:t>,</w:t>
      </w:r>
      <w:r>
        <w:rPr>
          <w:rFonts w:hint="default" w:eastAsia="Lucida Sans Unicode" w:cs="Times New Roman"/>
          <w:color w:val="auto"/>
          <w:kern w:val="1"/>
          <w:szCs w:val="20"/>
        </w:rPr>
        <w:t xml:space="preserve">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7"/>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r>
        <w:rPr>
          <w:rFonts w:hint="default" w:cs="Times New Roman"/>
          <w:i w:val="0"/>
          <w:iCs w:val="0"/>
          <w:color w:val="auto"/>
          <w:sz w:val="24"/>
          <w:szCs w:val="24"/>
        </w:rPr>
        <w:t xml:space="preserve">, </w:t>
      </w:r>
      <w:r>
        <w:rPr>
          <w:rFonts w:eastAsia="Lucida Sans Unicode" w:cs="Times New Roman"/>
          <w:color w:val="auto"/>
          <w:kern w:val="1"/>
          <w:szCs w:val="20"/>
          <w:lang w:val="en-US"/>
        </w:rPr>
        <w:t>p</w:t>
      </w:r>
      <w:r>
        <w:rPr>
          <w:rFonts w:eastAsia="Times New Roman" w:cs="Times New Roman"/>
          <w:color w:val="auto"/>
          <w:szCs w:val="20"/>
        </w:rPr>
        <w:t>ar iepirkuma procedūru: jurist</w:t>
      </w:r>
      <w:r>
        <w:rPr>
          <w:rFonts w:hint="default" w:eastAsia="Times New Roman" w:cs="Times New Roman"/>
          <w:color w:val="auto"/>
          <w:szCs w:val="20"/>
        </w:rPr>
        <w:t>a palīgs Līga Kricka</w:t>
      </w:r>
      <w:r>
        <w:rPr>
          <w:rFonts w:eastAsia="Times New Roman" w:cs="Times New Roman"/>
          <w:color w:val="auto"/>
          <w:szCs w:val="20"/>
        </w:rPr>
        <w:t xml:space="preserve">, tālrunis 63707294, e-pasts: </w:t>
      </w:r>
      <w:r>
        <w:rPr>
          <w:rFonts w:hint="default" w:eastAsia="Times New Roman" w:cs="Times New Roman"/>
          <w:color w:val="auto"/>
          <w:szCs w:val="20"/>
        </w:rPr>
        <w:t>juristapaligs</w:t>
      </w:r>
      <w:r>
        <w:rPr>
          <w:rFonts w:eastAsia="Times New Roman" w:cs="Times New Roman"/>
          <w:color w:val="auto"/>
          <w:szCs w:val="20"/>
        </w:rPr>
        <w:t>@dobelesnamsaimnieks.lv.</w:t>
      </w:r>
    </w:p>
    <w:p>
      <w:pPr>
        <w:numPr>
          <w:ilvl w:val="1"/>
          <w:numId w:val="2"/>
        </w:numPr>
        <w:suppressAutoHyphens/>
        <w:spacing w:after="0" w:line="240" w:lineRule="auto"/>
        <w:ind w:left="567" w:leftChars="0" w:hanging="567" w:firstLineChars="0"/>
        <w:contextualSpacing/>
        <w:jc w:val="both"/>
        <w:rPr>
          <w:rFonts w:eastAsia="Times New Roman" w:cs="Times New Roman"/>
          <w:color w:val="auto"/>
          <w:szCs w:val="20"/>
        </w:rPr>
      </w:pPr>
      <w:r>
        <w:rPr>
          <w:rFonts w:eastAsia="Times New Roman" w:cs="Times New Roman"/>
          <w:color w:val="auto"/>
          <w:szCs w:val="20"/>
        </w:rPr>
        <w:t xml:space="preserve">Iepirkuma </w:t>
      </w:r>
      <w:r>
        <w:rPr>
          <w:rFonts w:eastAsia="Times New Roman" w:cs="Times New Roman"/>
          <w:b/>
          <w:color w:val="auto"/>
          <w:szCs w:val="20"/>
        </w:rPr>
        <w:t>CPV</w:t>
      </w:r>
      <w:r>
        <w:rPr>
          <w:rFonts w:eastAsia="Times New Roman" w:cs="Times New Roman"/>
          <w:color w:val="auto"/>
          <w:szCs w:val="20"/>
        </w:rPr>
        <w:t xml:space="preserve"> kods: </w:t>
      </w:r>
      <w:r>
        <w:rPr>
          <w:b/>
          <w:bCs/>
          <w:color w:val="auto"/>
        </w:rPr>
        <w:t>50710000-5</w:t>
      </w:r>
      <w:r>
        <w:rPr>
          <w:rFonts w:eastAsia="Times New Roman" w:cs="Times New Roman"/>
          <w:b/>
          <w:color w:val="auto"/>
          <w:szCs w:val="20"/>
        </w:rPr>
        <w:t>.</w:t>
      </w:r>
    </w:p>
    <w:p>
      <w:pPr>
        <w:numPr>
          <w:ilvl w:val="1"/>
          <w:numId w:val="2"/>
        </w:numPr>
        <w:suppressAutoHyphens/>
        <w:spacing w:after="0" w:line="240" w:lineRule="auto"/>
        <w:ind w:left="567" w:leftChars="0" w:hanging="567" w:firstLineChars="0"/>
        <w:contextualSpacing/>
        <w:jc w:val="both"/>
        <w:rPr>
          <w:rFonts w:eastAsia="Times New Roman" w:cs="Times New Roman"/>
          <w:bCs/>
          <w:color w:val="auto"/>
          <w:szCs w:val="20"/>
        </w:rPr>
      </w:pPr>
      <w:r>
        <w:rPr>
          <w:rFonts w:eastAsia="Times New Roman" w:cs="Times New Roman"/>
          <w:bCs/>
          <w:color w:val="auto"/>
          <w:szCs w:val="20"/>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pPr>
        <w:spacing w:after="0" w:line="240" w:lineRule="auto"/>
        <w:contextualSpacing/>
        <w:jc w:val="both"/>
        <w:rPr>
          <w:rFonts w:eastAsia="Times New Roman" w:cs="Times New Roman"/>
          <w:color w:val="auto"/>
          <w:szCs w:val="24"/>
        </w:rPr>
      </w:pPr>
    </w:p>
    <w:p>
      <w:pPr>
        <w:numPr>
          <w:numId w:val="0"/>
        </w:numPr>
        <w:suppressAutoHyphens/>
        <w:spacing w:after="0" w:line="240" w:lineRule="auto"/>
        <w:ind w:leftChars="0"/>
        <w:contextualSpacing/>
        <w:jc w:val="center"/>
        <w:outlineLvl w:val="1"/>
        <w:rPr>
          <w:rFonts w:eastAsia="Times New Roman" w:cs="Times New Roman"/>
          <w:b/>
          <w:color w:val="auto"/>
          <w:szCs w:val="20"/>
        </w:rPr>
      </w:pPr>
      <w:bookmarkStart w:id="2" w:name="_Toc324317550"/>
      <w:r>
        <w:rPr>
          <w:rFonts w:hint="default" w:eastAsia="Times New Roman" w:cs="Times New Roman"/>
          <w:b/>
          <w:color w:val="auto"/>
          <w:szCs w:val="20"/>
        </w:rPr>
        <w:t>2.</w:t>
      </w:r>
      <w:r>
        <w:rPr>
          <w:rFonts w:eastAsia="Times New Roman" w:cs="Times New Roman"/>
          <w:b/>
          <w:color w:val="auto"/>
          <w:szCs w:val="20"/>
        </w:rPr>
        <w:t>Iepirkuma priekšmets, darba izpildes vieta un laiks</w:t>
      </w:r>
      <w:bookmarkEnd w:id="2"/>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Iepi</w:t>
      </w:r>
      <w:r>
        <w:rPr>
          <w:rFonts w:eastAsia="Times New Roman" w:cs="Times New Roman"/>
          <w:color w:val="auto"/>
          <w:sz w:val="24"/>
          <w:szCs w:val="24"/>
        </w:rPr>
        <w:t>rkuma priekšmets ir</w:t>
      </w:r>
      <w:r>
        <w:rPr>
          <w:rFonts w:hint="default" w:eastAsia="Times New Roman" w:cs="Times New Roman"/>
          <w:color w:val="auto"/>
          <w:sz w:val="24"/>
          <w:szCs w:val="24"/>
        </w:rPr>
        <w:t xml:space="preserve"> </w:t>
      </w:r>
      <w:r>
        <w:rPr>
          <w:b w:val="0"/>
          <w:bCs w:val="0"/>
          <w:color w:val="auto"/>
          <w:sz w:val="24"/>
          <w:szCs w:val="24"/>
        </w:rPr>
        <w:t>Elektroapgādes sistēmu mērījumi SIA “DOBELES NAMSAIMNIEKS” apsaimniekojamos objektos</w:t>
      </w:r>
      <w:r>
        <w:rPr>
          <w:rFonts w:eastAsia="Times New Roman" w:cs="Times New Roman"/>
          <w:color w:val="auto"/>
          <w:sz w:val="24"/>
          <w:szCs w:val="24"/>
        </w:rPr>
        <w:t xml:space="preserve"> </w:t>
      </w:r>
      <w:r>
        <w:rPr>
          <w:rFonts w:hint="default" w:eastAsia="Times New Roman" w:cs="Times New Roman"/>
          <w:color w:val="auto"/>
          <w:sz w:val="24"/>
          <w:szCs w:val="24"/>
        </w:rPr>
        <w:t xml:space="preserve">saskaņā ar tehnisko psecifikāciju (Pielikums Nr.5) </w:t>
      </w:r>
      <w:r>
        <w:rPr>
          <w:rFonts w:eastAsia="Times New Roman" w:cs="Times New Roman"/>
          <w:color w:val="auto"/>
          <w:szCs w:val="20"/>
        </w:rPr>
        <w:t xml:space="preserve">par piedāvāto </w:t>
      </w:r>
      <w:r>
        <w:rPr>
          <w:rFonts w:eastAsia="Times New Roman" w:cs="Times New Roman"/>
          <w:color w:val="auto"/>
          <w:szCs w:val="20"/>
          <w:u w:val="single"/>
        </w:rPr>
        <w:t>zemāko cenu</w:t>
      </w:r>
      <w:r>
        <w:rPr>
          <w:rFonts w:eastAsia="Times New Roman" w:cs="Times New Roman"/>
          <w:color w:val="auto"/>
          <w:szCs w:val="20"/>
        </w:rPr>
        <w:t>.</w:t>
      </w:r>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Iepirkums nav sadalīts daļās. Piedāvājums ir jāiesniedz par visu līguma priekšmetu.</w:t>
      </w:r>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Līguma izpildes vieta: Zaļā iela 3, Dobele, Dobeles novads. Līguma izpildes termiņš: 20</w:t>
      </w:r>
      <w:r>
        <w:rPr>
          <w:rFonts w:hint="default" w:eastAsia="Times New Roman" w:cs="Times New Roman"/>
          <w:color w:val="auto"/>
          <w:szCs w:val="20"/>
        </w:rPr>
        <w:t>20</w:t>
      </w:r>
      <w:r>
        <w:rPr>
          <w:rFonts w:eastAsia="Times New Roman" w:cs="Times New Roman"/>
          <w:color w:val="auto"/>
          <w:szCs w:val="20"/>
        </w:rPr>
        <w:t xml:space="preserve">.gada </w:t>
      </w:r>
      <w:r>
        <w:rPr>
          <w:rFonts w:hint="default" w:eastAsia="Times New Roman" w:cs="Times New Roman"/>
          <w:color w:val="auto"/>
          <w:szCs w:val="20"/>
        </w:rPr>
        <w:t>30</w:t>
      </w:r>
      <w:r>
        <w:rPr>
          <w:rFonts w:eastAsia="Times New Roman" w:cs="Times New Roman"/>
          <w:color w:val="auto"/>
          <w:szCs w:val="20"/>
        </w:rPr>
        <w:t>.</w:t>
      </w:r>
      <w:r>
        <w:rPr>
          <w:rFonts w:hint="default" w:eastAsia="Times New Roman" w:cs="Times New Roman"/>
          <w:color w:val="auto"/>
          <w:szCs w:val="20"/>
        </w:rPr>
        <w:t>novembris</w:t>
      </w:r>
      <w:r>
        <w:rPr>
          <w:rFonts w:eastAsia="Times New Roman" w:cs="Times New Roman"/>
          <w:color w:val="auto"/>
          <w:szCs w:val="20"/>
        </w:rPr>
        <w:t>.</w:t>
      </w:r>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rPr>
        <w:t>Pasūtītājs līgumu slēdz ar Pretendentu, par kura piedāvājumu iepirkuma komisija būs pieņēmusi lēmumu par līguma slēgšanas tiesību piešķiršanu.</w:t>
      </w:r>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rPr>
        <w:t>Iepirkuma līgumu slēdz saskaņā ar nolikuma pielikumu Nr.</w:t>
      </w:r>
      <w:r>
        <w:rPr>
          <w:rFonts w:hint="default" w:eastAsia="Times New Roman" w:cs="Times New Roman"/>
          <w:color w:val="auto"/>
        </w:rPr>
        <w:t>6</w:t>
      </w:r>
      <w:r>
        <w:rPr>
          <w:rFonts w:eastAsia="Times New Roman" w:cs="Times New Roman"/>
          <w:color w:val="auto"/>
        </w:rPr>
        <w:t xml:space="preserve"> “Līguma projekts”. Līgumam pievieno izraudzītā pretendenta piedāvājumu. Iepirkuma nolikuma noteikumi kopā ar tā pieteikumiem ir spēkā un ir saistoši visā līguma izpildes laikā.</w:t>
      </w:r>
    </w:p>
    <w:p>
      <w:pPr>
        <w:numPr>
          <w:ilvl w:val="0"/>
          <w:numId w:val="3"/>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rPr>
        <w:t>Pasūtītājs nodrošina tās informācijas neizpaušanu, ko Pretendents piedāvājumā ir norādījis kā komercnoslēpumu vai konfidenciālu informāciju.</w:t>
      </w:r>
    </w:p>
    <w:p>
      <w:pPr>
        <w:spacing w:after="0" w:line="240" w:lineRule="auto"/>
        <w:contextualSpacing/>
        <w:jc w:val="both"/>
        <w:rPr>
          <w:rFonts w:eastAsia="Times New Roman" w:cs="Times New Roman"/>
          <w:color w:val="FF0000"/>
          <w:szCs w:val="24"/>
        </w:rPr>
      </w:pPr>
    </w:p>
    <w:p>
      <w:pPr>
        <w:numPr>
          <w:numId w:val="0"/>
        </w:numPr>
        <w:suppressAutoHyphens/>
        <w:spacing w:after="0" w:line="240" w:lineRule="auto"/>
        <w:ind w:leftChars="0"/>
        <w:contextualSpacing/>
        <w:jc w:val="center"/>
        <w:outlineLvl w:val="1"/>
        <w:rPr>
          <w:rFonts w:eastAsia="Times New Roman" w:cs="Times New Roman"/>
          <w:b/>
          <w:color w:val="auto"/>
          <w:szCs w:val="20"/>
        </w:rPr>
      </w:pPr>
      <w:bookmarkStart w:id="3" w:name="_Toc324317551"/>
      <w:bookmarkStart w:id="4" w:name="_Toc233878092"/>
      <w:bookmarkStart w:id="5" w:name="_Toc233878119"/>
      <w:bookmarkStart w:id="6" w:name="_Toc233878237"/>
      <w:bookmarkStart w:id="7" w:name="_Toc233878274"/>
      <w:bookmarkStart w:id="8" w:name="_Toc245179481"/>
      <w:r>
        <w:rPr>
          <w:rFonts w:hint="default" w:eastAsia="Times New Roman" w:cs="Times New Roman"/>
          <w:b/>
          <w:color w:val="auto"/>
          <w:szCs w:val="20"/>
        </w:rPr>
        <w:t xml:space="preserve">3. </w:t>
      </w:r>
      <w:r>
        <w:rPr>
          <w:rFonts w:eastAsia="Times New Roman" w:cs="Times New Roman"/>
          <w:b/>
          <w:color w:val="auto"/>
          <w:szCs w:val="20"/>
        </w:rPr>
        <w:t>Piedāvājuma iesniegšana un atvēršanas kārtība</w:t>
      </w:r>
      <w:bookmarkEnd w:id="3"/>
      <w:bookmarkEnd w:id="4"/>
      <w:bookmarkEnd w:id="5"/>
      <w:bookmarkEnd w:id="6"/>
      <w:bookmarkEnd w:id="7"/>
      <w:bookmarkEnd w:id="8"/>
    </w:p>
    <w:p>
      <w:pPr>
        <w:numPr>
          <w:ilvl w:val="0"/>
          <w:numId w:val="4"/>
        </w:numPr>
        <w:suppressAutoHyphens/>
        <w:spacing w:after="0" w:line="240" w:lineRule="auto"/>
        <w:ind w:left="425" w:leftChars="0" w:hanging="425" w:firstLineChars="0"/>
        <w:contextualSpacing/>
        <w:jc w:val="both"/>
        <w:rPr>
          <w:rFonts w:eastAsia="Times New Roman" w:cs="Times New Roman"/>
          <w:b/>
          <w:color w:val="auto"/>
          <w:szCs w:val="20"/>
        </w:rPr>
      </w:pPr>
      <w:bookmarkStart w:id="9" w:name="_Hlk17818512"/>
      <w:r>
        <w:rPr>
          <w:rFonts w:eastAsia="Times New Roman" w:cs="Times New Roman"/>
          <w:color w:val="auto"/>
          <w:szCs w:val="20"/>
        </w:rPr>
        <w:t xml:space="preserve"> Piedāvājuma iesniegšanas termiņš: līdz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gada 2</w:t>
      </w:r>
      <w:r>
        <w:rPr>
          <w:rFonts w:hint="default" w:eastAsia="Times New Roman" w:cs="Times New Roman"/>
          <w:b/>
          <w:color w:val="auto"/>
          <w:szCs w:val="20"/>
        </w:rPr>
        <w:t>5</w:t>
      </w:r>
      <w:r>
        <w:rPr>
          <w:rFonts w:eastAsia="Times New Roman" w:cs="Times New Roman"/>
          <w:b/>
          <w:color w:val="auto"/>
          <w:szCs w:val="20"/>
        </w:rPr>
        <w:t>.</w:t>
      </w:r>
      <w:r>
        <w:rPr>
          <w:rFonts w:hint="default" w:eastAsia="Times New Roman" w:cs="Times New Roman"/>
          <w:b/>
          <w:color w:val="auto"/>
          <w:szCs w:val="20"/>
        </w:rPr>
        <w:t xml:space="preserve">marta </w:t>
      </w:r>
      <w:r>
        <w:rPr>
          <w:rFonts w:eastAsia="Times New Roman" w:cs="Times New Roman"/>
          <w:b/>
          <w:color w:val="auto"/>
          <w:szCs w:val="20"/>
        </w:rPr>
        <w:t>plkst.1</w:t>
      </w:r>
      <w:r>
        <w:rPr>
          <w:rFonts w:hint="default" w:eastAsia="Times New Roman" w:cs="Times New Roman"/>
          <w:b/>
          <w:color w:val="auto"/>
          <w:szCs w:val="20"/>
        </w:rPr>
        <w:t>4</w:t>
      </w:r>
      <w:r>
        <w:rPr>
          <w:rFonts w:eastAsia="Times New Roman" w:cs="Times New Roman"/>
          <w:b/>
          <w:color w:val="auto"/>
          <w:szCs w:val="20"/>
        </w:rPr>
        <w:t>.00.</w:t>
      </w:r>
    </w:p>
    <w:p>
      <w:pPr>
        <w:numPr>
          <w:ilvl w:val="0"/>
          <w:numId w:val="4"/>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bCs/>
          <w:color w:val="auto"/>
          <w:szCs w:val="20"/>
        </w:rPr>
        <w:t xml:space="preserve">Piedāvājuma iesniegšanas vieta: </w:t>
      </w:r>
      <w:r>
        <w:rPr>
          <w:rFonts w:eastAsia="Times New Roman" w:cs="Times New Roman"/>
          <w:color w:val="auto"/>
          <w:szCs w:val="20"/>
        </w:rPr>
        <w:t xml:space="preserve">piedāvājumu var iesniegt personīgi </w:t>
      </w:r>
      <w:r>
        <w:rPr>
          <w:rFonts w:eastAsia="Times New Roman" w:cs="Times New Roman"/>
          <w:bCs/>
          <w:color w:val="auto"/>
          <w:szCs w:val="20"/>
        </w:rPr>
        <w:t>SIA „DOBELES NAMSAIMNIEKS” 1.kabinetā, Zaļajā ielā 3, Dobelē, Dobeles novadā, darba dienās no 8:00 līdz 17:00, piektdienās no 8:00 līdz 16:00</w:t>
      </w:r>
      <w:r>
        <w:rPr>
          <w:rFonts w:eastAsia="Times New Roman" w:cs="Times New Roman"/>
          <w:bCs/>
          <w:color w:val="auto"/>
          <w:szCs w:val="20"/>
          <w:vertAlign w:val="superscript"/>
        </w:rPr>
        <w:t xml:space="preserve"> </w:t>
      </w:r>
      <w:r>
        <w:rPr>
          <w:rFonts w:eastAsia="Times New Roman" w:cs="Times New Roman"/>
          <w:bCs/>
          <w:color w:val="auto"/>
          <w:szCs w:val="20"/>
        </w:rPr>
        <w:t>(pārtraukums no 12:00 – 13:00) vai nosūtīt pa pastu uz SIA „DOBELES NAMSAIMNIEKS” juridisko adresi: Zaļā iela 3, Dobele, Dobeles novads, LV-3701.</w:t>
      </w:r>
    </w:p>
    <w:p>
      <w:pPr>
        <w:numPr>
          <w:ilvl w:val="0"/>
          <w:numId w:val="4"/>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Piedāvājums jāiesniedz </w:t>
      </w:r>
      <w:r>
        <w:rPr>
          <w:rFonts w:eastAsia="Times New Roman" w:cs="Times New Roman"/>
          <w:color w:val="auto"/>
          <w:szCs w:val="20"/>
          <w:u w:val="single"/>
        </w:rPr>
        <w:t>slēgtā, aizzīmogotā aploksnē</w:t>
      </w:r>
      <w:r>
        <w:rPr>
          <w:rFonts w:eastAsia="Times New Roman" w:cs="Times New Roman"/>
          <w:color w:val="auto"/>
          <w:szCs w:val="20"/>
        </w:rPr>
        <w:t xml:space="preserve"> vai bandrolē. Pasta sūtījumam jābūt nogādātam 3.1. un 3.2.punktā noteiktajā termiņā un vietā.</w:t>
      </w:r>
    </w:p>
    <w:p>
      <w:pPr>
        <w:numPr>
          <w:ilvl w:val="0"/>
          <w:numId w:val="4"/>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Iesniegto piedāvājumu pretendents var atsaukt un grozīt tikai līdz piedāvājumu iesniegšanas termiņa beigām. Visi piedāvājumu grozījumi un papildinājumi, kas tiks saņemti pēc pieteikumu iesniegšanas termiņa beigām, netiks ņemti vērā.</w:t>
      </w:r>
    </w:p>
    <w:p>
      <w:pPr>
        <w:numPr>
          <w:ilvl w:val="0"/>
          <w:numId w:val="4"/>
        </w:numPr>
        <w:suppressAutoHyphens/>
        <w:spacing w:after="0" w:line="240" w:lineRule="auto"/>
        <w:ind w:left="425" w:leftChars="0" w:hanging="425" w:firstLineChars="0"/>
        <w:contextualSpacing/>
        <w:jc w:val="both"/>
        <w:rPr>
          <w:rFonts w:eastAsia="Times New Roman" w:cs="Times New Roman"/>
          <w:b/>
          <w:color w:val="auto"/>
          <w:szCs w:val="20"/>
        </w:rPr>
      </w:pPr>
      <w:r>
        <w:rPr>
          <w:rFonts w:eastAsia="Times New Roman" w:cs="Times New Roman"/>
          <w:color w:val="auto"/>
          <w:szCs w:val="20"/>
        </w:rPr>
        <w:t xml:space="preserve"> Ja piedāvājums ir iesniegts pēc norādītā piedāvājumu iesniegšanas termiņa beigām, vai nav noformēts tā, lai piedāvājumā iekļautā informācija nebūtu pieejama līdz piedāvājumu atvēršanas brīdim, tad piedāvājumu neatvērtu atdod atpakaļ vai nosūta atpakaļ pretendentam.</w:t>
      </w:r>
    </w:p>
    <w:bookmarkEnd w:id="9"/>
    <w:p>
      <w:pPr>
        <w:spacing w:after="0" w:line="240" w:lineRule="auto"/>
        <w:contextualSpacing/>
        <w:jc w:val="both"/>
        <w:outlineLvl w:val="1"/>
        <w:rPr>
          <w:rFonts w:eastAsia="Times New Roman" w:cs="Times New Roman"/>
          <w:b/>
          <w:color w:val="FF0000"/>
          <w:szCs w:val="24"/>
        </w:rPr>
      </w:pPr>
    </w:p>
    <w:p>
      <w:pPr>
        <w:numPr>
          <w:ilvl w:val="0"/>
          <w:numId w:val="5"/>
        </w:numPr>
        <w:suppressAutoHyphens/>
        <w:spacing w:after="0" w:line="240" w:lineRule="auto"/>
        <w:ind w:leftChars="0"/>
        <w:contextualSpacing/>
        <w:jc w:val="center"/>
        <w:outlineLvl w:val="1"/>
        <w:rPr>
          <w:rFonts w:eastAsia="Times New Roman" w:cs="Times New Roman"/>
          <w:b/>
          <w:color w:val="auto"/>
          <w:szCs w:val="20"/>
        </w:rPr>
      </w:pPr>
      <w:bookmarkStart w:id="10" w:name="_Toc535914585"/>
      <w:bookmarkStart w:id="11" w:name="_Toc535914803"/>
      <w:bookmarkStart w:id="12" w:name="_Toc535915688"/>
      <w:bookmarkStart w:id="13" w:name="_Toc19521658"/>
      <w:bookmarkStart w:id="14" w:name="_Toc58053978"/>
      <w:bookmarkStart w:id="15" w:name="_Toc85448325"/>
      <w:bookmarkStart w:id="16" w:name="_Toc85449935"/>
      <w:bookmarkStart w:id="17" w:name="_Toc153873046"/>
      <w:bookmarkStart w:id="18" w:name="_Toc233878094"/>
      <w:bookmarkStart w:id="19" w:name="_Toc233878121"/>
      <w:bookmarkStart w:id="20" w:name="_Toc233878239"/>
      <w:bookmarkStart w:id="21" w:name="_Toc233878276"/>
      <w:bookmarkStart w:id="22" w:name="_Toc245179483"/>
      <w:bookmarkStart w:id="23" w:name="_Toc324317553"/>
      <w:r>
        <w:rPr>
          <w:rFonts w:eastAsia="Times New Roman" w:cs="Times New Roman"/>
          <w:b/>
          <w:color w:val="auto"/>
          <w:szCs w:val="20"/>
        </w:rPr>
        <w:t>Piedāvājuma noformējums</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numPr>
          <w:ilvl w:val="0"/>
          <w:numId w:val="6"/>
        </w:numPr>
        <w:suppressAutoHyphens/>
        <w:spacing w:after="0" w:line="240" w:lineRule="auto"/>
        <w:ind w:left="425" w:leftChars="0" w:hanging="425" w:firstLineChars="0"/>
        <w:contextualSpacing/>
        <w:jc w:val="both"/>
        <w:outlineLvl w:val="1"/>
        <w:rPr>
          <w:rFonts w:eastAsia="Times New Roman" w:cs="Times New Roman"/>
          <w:b/>
          <w:color w:val="auto"/>
          <w:szCs w:val="20"/>
        </w:rPr>
      </w:pPr>
      <w:r>
        <w:rPr>
          <w:rFonts w:eastAsia="Times New Roman" w:cs="Times New Roman"/>
          <w:b w:val="0"/>
          <w:bCs w:val="0"/>
          <w:color w:val="auto"/>
          <w:szCs w:val="20"/>
        </w:rPr>
        <w:t>P</w:t>
      </w:r>
      <w:r>
        <w:rPr>
          <w:rFonts w:eastAsia="Times New Roman" w:cs="Times New Roman"/>
          <w:color w:val="auto"/>
          <w:szCs w:val="20"/>
        </w:rPr>
        <w:t>iedāvājums iesniedzams aizlīmētā, aizzīmogotā aploksnē, uz kuras ir šādas norādes:</w:t>
      </w:r>
    </w:p>
    <w:tbl>
      <w:tblPr>
        <w:tblW w:w="7445" w:type="dxa"/>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7445" w:type="dxa"/>
            <w:vAlign w:val="top"/>
          </w:tcPr>
          <w:p>
            <w:pPr>
              <w:suppressAutoHyphens/>
              <w:spacing w:after="0" w:line="240" w:lineRule="auto"/>
              <w:ind w:left="360"/>
              <w:jc w:val="center"/>
              <w:rPr>
                <w:rFonts w:eastAsia="Arial" w:cs="Times New Roman"/>
                <w:color w:val="auto"/>
                <w:sz w:val="22"/>
                <w:lang w:eastAsia="ar-SA"/>
              </w:rPr>
            </w:pPr>
            <w:r>
              <w:rPr>
                <w:rFonts w:eastAsia="Arial" w:cs="Times New Roman"/>
                <w:b/>
                <w:color w:val="auto"/>
                <w:szCs w:val="24"/>
                <w:lang w:eastAsia="ar-SA"/>
              </w:rPr>
              <w:t>SIA “DOBELES NAMSAIMNIEKS”</w:t>
            </w:r>
          </w:p>
          <w:p>
            <w:pPr>
              <w:suppressAutoHyphens/>
              <w:spacing w:after="0" w:line="240" w:lineRule="auto"/>
              <w:ind w:left="360"/>
              <w:jc w:val="center"/>
              <w:rPr>
                <w:rFonts w:eastAsia="Arial" w:cs="Times New Roman"/>
                <w:b/>
                <w:color w:val="auto"/>
                <w:sz w:val="22"/>
                <w:lang w:eastAsia="ar-SA"/>
              </w:rPr>
            </w:pPr>
            <w:r>
              <w:rPr>
                <w:rFonts w:eastAsia="Arial" w:cs="Times New Roman"/>
                <w:b/>
                <w:color w:val="auto"/>
                <w:sz w:val="22"/>
                <w:lang w:eastAsia="ar-SA"/>
              </w:rPr>
              <w:t>Zaļā iela 3, Dobele, Dobeles nov., LV 3701</w:t>
            </w:r>
          </w:p>
          <w:p>
            <w:pPr>
              <w:suppressAutoHyphens/>
              <w:spacing w:after="0" w:line="240" w:lineRule="auto"/>
              <w:ind w:left="360"/>
              <w:jc w:val="center"/>
              <w:rPr>
                <w:rFonts w:eastAsia="Arial" w:cs="Times New Roman"/>
                <w:b/>
                <w:color w:val="auto"/>
                <w:sz w:val="22"/>
                <w:lang w:eastAsia="ar-SA"/>
              </w:rPr>
            </w:pPr>
          </w:p>
          <w:p>
            <w:pPr>
              <w:suppressAutoHyphens/>
              <w:spacing w:after="0" w:line="240" w:lineRule="auto"/>
              <w:ind w:left="360"/>
              <w:jc w:val="center"/>
              <w:rPr>
                <w:rFonts w:eastAsia="Arial" w:cs="Times New Roman"/>
                <w:color w:val="auto"/>
                <w:szCs w:val="24"/>
                <w:lang w:eastAsia="ar-SA"/>
              </w:rPr>
            </w:pPr>
            <w:r>
              <w:rPr>
                <w:rFonts w:eastAsia="Arial" w:cs="Times New Roman"/>
                <w:color w:val="auto"/>
                <w:szCs w:val="24"/>
                <w:lang w:eastAsia="ar-SA"/>
              </w:rPr>
              <w:t>Piedāvājums iepirkumā</w:t>
            </w:r>
          </w:p>
          <w:p>
            <w:pPr>
              <w:suppressAutoHyphens/>
              <w:spacing w:after="0" w:line="240" w:lineRule="auto"/>
              <w:ind w:left="360"/>
              <w:jc w:val="center"/>
              <w:rPr>
                <w:rFonts w:eastAsia="Arial" w:cs="Times New Roman"/>
                <w:b/>
                <w:color w:val="auto"/>
                <w:sz w:val="22"/>
                <w:lang w:eastAsia="ar-SA"/>
              </w:rPr>
            </w:pPr>
            <w:r>
              <w:rPr>
                <w:rFonts w:eastAsia="Arial" w:cs="Times New Roman"/>
                <w:b/>
                <w:color w:val="auto"/>
                <w:sz w:val="22"/>
                <w:lang w:eastAsia="ar-SA"/>
              </w:rPr>
              <w:t>„</w:t>
            </w:r>
            <w:r>
              <w:rPr>
                <w:b/>
                <w:bCs/>
                <w:color w:val="auto"/>
                <w:sz w:val="24"/>
                <w:szCs w:val="24"/>
              </w:rPr>
              <w:t>Elektroapgādes sistēmu mērījumi SIA “DOBELES NAMSAIMNIEKS” apsaimniekojamos objektos</w:t>
            </w:r>
            <w:r>
              <w:rPr>
                <w:rFonts w:eastAsia="Arial" w:cs="Times New Roman"/>
                <w:b/>
                <w:bCs/>
                <w:color w:val="auto"/>
                <w:sz w:val="22"/>
                <w:lang w:eastAsia="ar-SA"/>
              </w:rPr>
              <w:t>”</w:t>
            </w:r>
          </w:p>
          <w:p>
            <w:pPr>
              <w:suppressAutoHyphens/>
              <w:spacing w:after="0" w:line="240" w:lineRule="auto"/>
              <w:ind w:left="360"/>
              <w:jc w:val="center"/>
              <w:rPr>
                <w:rFonts w:eastAsia="Arial" w:cs="Times New Roman"/>
                <w:b/>
                <w:color w:val="auto"/>
                <w:szCs w:val="20"/>
                <w:lang w:eastAsia="ar-SA"/>
              </w:rPr>
            </w:pPr>
            <w:r>
              <w:rPr>
                <w:rFonts w:eastAsia="Arial" w:cs="Times New Roman"/>
                <w:b/>
                <w:color w:val="auto"/>
                <w:sz w:val="22"/>
                <w:lang w:eastAsia="ar-SA"/>
              </w:rPr>
              <w:t>identifikācijas numurs SIA DN 20</w:t>
            </w:r>
            <w:r>
              <w:rPr>
                <w:rFonts w:hint="default" w:eastAsia="Arial" w:cs="Times New Roman"/>
                <w:b/>
                <w:color w:val="auto"/>
                <w:sz w:val="22"/>
                <w:lang w:eastAsia="ar-SA"/>
              </w:rPr>
              <w:t>20</w:t>
            </w:r>
            <w:r>
              <w:rPr>
                <w:rFonts w:eastAsia="Arial" w:cs="Times New Roman"/>
                <w:b/>
                <w:color w:val="auto"/>
                <w:sz w:val="22"/>
                <w:lang w:eastAsia="ar-SA"/>
              </w:rPr>
              <w:t>/</w:t>
            </w:r>
            <w:r>
              <w:rPr>
                <w:rFonts w:hint="default" w:eastAsia="Arial" w:cs="Times New Roman"/>
                <w:b/>
                <w:color w:val="auto"/>
                <w:sz w:val="22"/>
                <w:lang w:eastAsia="ar-SA"/>
              </w:rPr>
              <w:t>6</w:t>
            </w:r>
          </w:p>
          <w:p>
            <w:pPr>
              <w:suppressAutoHyphens/>
              <w:spacing w:after="0" w:line="240" w:lineRule="auto"/>
              <w:ind w:left="360"/>
              <w:jc w:val="center"/>
              <w:rPr>
                <w:rFonts w:eastAsia="Arial" w:cs="Times New Roman"/>
                <w:b/>
                <w:color w:val="auto"/>
                <w:szCs w:val="24"/>
                <w:lang w:eastAsia="ar-SA"/>
              </w:rPr>
            </w:pPr>
            <w:r>
              <w:rPr>
                <w:rFonts w:eastAsia="Arial" w:cs="Times New Roman"/>
                <w:b w:val="0"/>
                <w:bCs/>
                <w:color w:val="auto"/>
                <w:szCs w:val="24"/>
                <w:lang w:eastAsia="ar-SA"/>
              </w:rPr>
              <w:t>Aizliegts atvērt līdz</w:t>
            </w:r>
            <w:r>
              <w:rPr>
                <w:rFonts w:eastAsia="Arial" w:cs="Times New Roman"/>
                <w:b/>
                <w:color w:val="auto"/>
                <w:szCs w:val="24"/>
                <w:lang w:eastAsia="ar-SA"/>
              </w:rPr>
              <w:t xml:space="preserve"> </w:t>
            </w:r>
            <w:r>
              <w:rPr>
                <w:rFonts w:eastAsia="Arial" w:cs="Times New Roman"/>
                <w:b/>
                <w:color w:val="auto"/>
                <w:szCs w:val="24"/>
                <w:shd w:val="clear" w:color="auto" w:fill="auto"/>
                <w:lang w:eastAsia="ar-SA"/>
              </w:rPr>
              <w:t>20</w:t>
            </w:r>
            <w:r>
              <w:rPr>
                <w:rFonts w:hint="default" w:eastAsia="Arial" w:cs="Times New Roman"/>
                <w:b/>
                <w:color w:val="auto"/>
                <w:szCs w:val="24"/>
                <w:shd w:val="clear" w:color="auto" w:fill="auto"/>
                <w:lang w:eastAsia="ar-SA"/>
              </w:rPr>
              <w:t>20</w:t>
            </w:r>
            <w:r>
              <w:rPr>
                <w:rFonts w:eastAsia="Arial" w:cs="Times New Roman"/>
                <w:b/>
                <w:color w:val="auto"/>
                <w:szCs w:val="24"/>
                <w:shd w:val="clear" w:color="auto" w:fill="auto"/>
                <w:lang w:eastAsia="ar-SA"/>
              </w:rPr>
              <w:t>.gada</w:t>
            </w:r>
            <w:r>
              <w:rPr>
                <w:rFonts w:hint="default" w:eastAsia="Arial" w:cs="Times New Roman"/>
                <w:b/>
                <w:color w:val="auto"/>
                <w:szCs w:val="24"/>
                <w:shd w:val="clear" w:color="auto" w:fill="auto"/>
                <w:lang w:eastAsia="ar-SA"/>
              </w:rPr>
              <w:t xml:space="preserve"> 25</w:t>
            </w:r>
            <w:r>
              <w:rPr>
                <w:rFonts w:eastAsia="Arial" w:cs="Times New Roman"/>
                <w:b/>
                <w:color w:val="auto"/>
                <w:szCs w:val="24"/>
                <w:shd w:val="clear" w:color="auto" w:fill="auto"/>
                <w:lang w:eastAsia="ar-SA"/>
              </w:rPr>
              <w:t xml:space="preserve"> .</w:t>
            </w:r>
            <w:r>
              <w:rPr>
                <w:rFonts w:hint="default" w:eastAsia="Arial" w:cs="Times New Roman"/>
                <w:b/>
                <w:color w:val="auto"/>
                <w:szCs w:val="24"/>
                <w:shd w:val="clear" w:color="auto" w:fill="auto"/>
                <w:lang w:eastAsia="ar-SA"/>
              </w:rPr>
              <w:t>marta</w:t>
            </w:r>
            <w:r>
              <w:rPr>
                <w:rFonts w:eastAsia="Arial" w:cs="Times New Roman"/>
                <w:b/>
                <w:color w:val="auto"/>
                <w:szCs w:val="24"/>
                <w:shd w:val="clear" w:color="auto" w:fill="auto"/>
                <w:lang w:eastAsia="ar-SA"/>
              </w:rPr>
              <w:t xml:space="preserve"> plkst.1</w:t>
            </w:r>
            <w:r>
              <w:rPr>
                <w:rFonts w:hint="default" w:eastAsia="Arial" w:cs="Times New Roman"/>
                <w:b/>
                <w:color w:val="auto"/>
                <w:szCs w:val="24"/>
                <w:shd w:val="clear" w:color="auto" w:fill="auto"/>
                <w:lang w:eastAsia="ar-SA"/>
              </w:rPr>
              <w:t>4</w:t>
            </w:r>
            <w:r>
              <w:rPr>
                <w:rFonts w:eastAsia="Arial" w:cs="Times New Roman"/>
                <w:b/>
                <w:color w:val="auto"/>
                <w:szCs w:val="24"/>
                <w:shd w:val="clear" w:color="auto" w:fill="auto"/>
                <w:lang w:eastAsia="ar-SA"/>
              </w:rPr>
              <w:t>:</w:t>
            </w:r>
            <w:r>
              <w:rPr>
                <w:rFonts w:hint="default" w:eastAsia="Arial" w:cs="Times New Roman"/>
                <w:b/>
                <w:color w:val="auto"/>
                <w:szCs w:val="24"/>
                <w:shd w:val="clear" w:color="auto" w:fill="auto"/>
                <w:lang w:eastAsia="ar-SA"/>
              </w:rPr>
              <w:t>15</w:t>
            </w:r>
          </w:p>
          <w:p>
            <w:pPr>
              <w:spacing w:after="0" w:line="240" w:lineRule="auto"/>
              <w:contextualSpacing/>
              <w:jc w:val="both"/>
              <w:rPr>
                <w:rFonts w:eastAsia="Times New Roman" w:cs="Times New Roman"/>
                <w:b/>
                <w:color w:val="auto"/>
                <w:szCs w:val="20"/>
              </w:rPr>
            </w:pPr>
          </w:p>
        </w:tc>
      </w:tr>
    </w:tbl>
    <w:p>
      <w:pPr>
        <w:suppressAutoHyphens/>
        <w:spacing w:after="0" w:line="240" w:lineRule="auto"/>
        <w:jc w:val="both"/>
        <w:rPr>
          <w:rFonts w:eastAsia="Times New Roman" w:cs="Times New Roman"/>
          <w:b/>
          <w:color w:val="FF0000"/>
          <w:szCs w:val="24"/>
          <w:lang w:eastAsia="ar-SA"/>
        </w:rPr>
      </w:pP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Visa nolikumā noteiktā informācija pretendentam ir jāiesniedz rakstiski un atbilstoši Nolikuma pielikumos pievienotajām veidlapām.</w:t>
      </w: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 xml:space="preserve">Piedāvājuma dokumentiem ir jābūt latviešu valodā. Ārvalstu institūciju izdotie apliecinājumu dokumenti var būt svešvalodā ar pievienotu pretendenta apliecinātu tulkojumu latviešu valodā. </w:t>
      </w: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Svešvalodā sagatavotiem piedāvājuma dokumentiem jāpievieno pretendenta apliecināts tulkojums latviešu valodā, norādot – „Tulkojums atbilst oriģinālam", apliecinātāja amatu, vārdu, uzvārdu un datumu. Par tulkojuma atbilstību dokumenta oriģinālam ir atbildīgs Pretendents.</w:t>
      </w: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Piedāvājums ir jāiesniedz ar sanumurētām lapām, caurauklots, ar uzlīmi, kas nostiprina auklu. Uz uzlīmes ir jābūt norādītam lapu skaitam, Pretendenta zīmoga nospiedumam un tās personas parakstam, kura paraksta piedāvājumu. Ja uz piedāvājuma lapām ir izdarīti labojumi, tiem ir jābūt noformētiem atbilstoši normatīvo aktu prasībām.</w:t>
      </w: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Piedāvājums ir jāparaksta personai, kura likumiski pārstāv pretendentu, vai ir pilnvarota pārstāvēt pretendentu šajā iepirkuma procedūrā. Ja piedāvājumu paraksta pilnvarotā persona, tad piedāvājuma dokumentiem ir jāpievieno pilnvara.</w:t>
      </w:r>
    </w:p>
    <w:p>
      <w:pPr>
        <w:numPr>
          <w:ilvl w:val="0"/>
          <w:numId w:val="6"/>
        </w:numPr>
        <w:suppressAutoHyphens/>
        <w:spacing w:after="0" w:line="240" w:lineRule="auto"/>
        <w:ind w:left="425" w:leftChars="0" w:hanging="425" w:firstLineChars="0"/>
        <w:contextualSpacing/>
        <w:jc w:val="both"/>
        <w:rPr>
          <w:rFonts w:eastAsia="Times New Roman" w:cs="Times New Roman"/>
          <w:color w:val="auto"/>
          <w:szCs w:val="20"/>
        </w:rPr>
      </w:pPr>
      <w:r>
        <w:rPr>
          <w:rFonts w:eastAsia="Times New Roman" w:cs="Times New Roman"/>
          <w:color w:val="auto"/>
          <w:szCs w:val="20"/>
        </w:rPr>
        <w:t>Piedāvājums ir jānoformē atbilstoši šā nolikuma un normatīvo aktu prasībām.</w:t>
      </w:r>
    </w:p>
    <w:p>
      <w:pPr>
        <w:spacing w:after="0" w:line="240" w:lineRule="auto"/>
        <w:contextualSpacing/>
        <w:jc w:val="center"/>
        <w:rPr>
          <w:rFonts w:eastAsia="Times New Roman" w:cs="Times New Roman"/>
          <w:b/>
          <w:color w:val="auto"/>
          <w:szCs w:val="24"/>
        </w:rPr>
      </w:pPr>
    </w:p>
    <w:p>
      <w:pPr>
        <w:numPr>
          <w:numId w:val="0"/>
        </w:numPr>
        <w:suppressAutoHyphens/>
        <w:spacing w:after="0" w:line="240" w:lineRule="auto"/>
        <w:ind w:leftChars="0"/>
        <w:contextualSpacing/>
        <w:jc w:val="center"/>
        <w:outlineLvl w:val="1"/>
        <w:rPr>
          <w:rFonts w:eastAsia="Times New Roman" w:cs="Times New Roman"/>
          <w:b/>
          <w:color w:val="auto"/>
          <w:szCs w:val="20"/>
        </w:rPr>
      </w:pPr>
      <w:bookmarkStart w:id="24" w:name="_Toc324317554"/>
      <w:r>
        <w:rPr>
          <w:rFonts w:hint="default" w:eastAsia="Times New Roman" w:cs="Times New Roman"/>
          <w:b/>
          <w:color w:val="auto"/>
          <w:szCs w:val="20"/>
        </w:rPr>
        <w:t xml:space="preserve">5. </w:t>
      </w:r>
      <w:r>
        <w:rPr>
          <w:rFonts w:eastAsia="Times New Roman" w:cs="Times New Roman"/>
          <w:b/>
          <w:color w:val="auto"/>
          <w:szCs w:val="20"/>
        </w:rPr>
        <w:t>Prasības pretendentiem un iesniedzamie dokumenti</w:t>
      </w:r>
      <w:bookmarkEnd w:id="24"/>
    </w:p>
    <w:p>
      <w:pPr>
        <w:numPr>
          <w:ilvl w:val="0"/>
          <w:numId w:val="7"/>
        </w:numPr>
        <w:suppressAutoHyphens/>
        <w:spacing w:after="0" w:line="240" w:lineRule="auto"/>
        <w:ind w:left="425" w:leftChars="0" w:hanging="425" w:firstLineChars="0"/>
        <w:jc w:val="both"/>
        <w:rPr>
          <w:rFonts w:eastAsia="Times New Roman" w:cs="Times New Roman"/>
          <w:color w:val="auto"/>
          <w:szCs w:val="24"/>
          <w:lang w:eastAsia="ar-SA"/>
        </w:rPr>
      </w:pPr>
      <w:r>
        <w:rPr>
          <w:color w:val="auto"/>
        </w:rPr>
        <w:t>Pretendents var būt jebkura fiziska vai juridiska persona, šādu personu apvienība jebkurā to kombinācijā, kura ir iesniegusi piedāvājumu konkursā atbilstoši nolikumā noteiktajām prasībām</w:t>
      </w:r>
      <w:r>
        <w:rPr>
          <w:rFonts w:hint="default"/>
          <w:color w:val="auto"/>
        </w:rPr>
        <w:t>.</w:t>
      </w:r>
    </w:p>
    <w:p>
      <w:pPr>
        <w:numPr>
          <w:ilvl w:val="0"/>
          <w:numId w:val="7"/>
        </w:numPr>
        <w:suppressAutoHyphens/>
        <w:spacing w:after="0" w:line="240" w:lineRule="auto"/>
        <w:ind w:left="425" w:leftChars="0" w:hanging="425" w:firstLineChars="0"/>
        <w:jc w:val="both"/>
        <w:rPr>
          <w:rFonts w:eastAsia="Times New Roman" w:cs="Times New Roman"/>
          <w:color w:val="auto"/>
          <w:szCs w:val="24"/>
          <w:lang w:eastAsia="ar-SA"/>
        </w:rPr>
      </w:pPr>
      <w:r>
        <w:rPr>
          <w:color w:val="auto"/>
        </w:rPr>
        <w:t>Piedāvājumu drīkst iesniegt</w:t>
      </w:r>
      <w:r>
        <w:rPr>
          <w:rFonts w:hint="default"/>
          <w:color w:val="auto"/>
        </w:rPr>
        <w:t>:</w:t>
      </w:r>
    </w:p>
    <w:p>
      <w:pPr>
        <w:pStyle w:val="9"/>
        <w:numPr>
          <w:ilvl w:val="1"/>
          <w:numId w:val="8"/>
        </w:numPr>
        <w:tabs>
          <w:tab w:val="left" w:pos="1418"/>
        </w:tabs>
        <w:ind w:left="567" w:leftChars="0" w:firstLine="153" w:firstLineChars="0"/>
        <w:jc w:val="both"/>
        <w:rPr>
          <w:rFonts w:ascii="Times New Roman" w:hAnsi="Times New Roman"/>
          <w:b w:val="0"/>
          <w:color w:val="auto"/>
          <w:sz w:val="24"/>
        </w:rPr>
      </w:pPr>
      <w:r>
        <w:rPr>
          <w:rFonts w:ascii="Times New Roman" w:hAnsi="Times New Roman"/>
          <w:b w:val="0"/>
          <w:color w:val="auto"/>
          <w:sz w:val="24"/>
        </w:rPr>
        <w:t>piegādātājs, kas ir juridiska vai fiziska persona (turpmāk – pretendents);</w:t>
      </w:r>
    </w:p>
    <w:p>
      <w:pPr>
        <w:pStyle w:val="9"/>
        <w:numPr>
          <w:ilvl w:val="1"/>
          <w:numId w:val="8"/>
        </w:numPr>
        <w:tabs>
          <w:tab w:val="left" w:pos="1418"/>
        </w:tabs>
        <w:ind w:left="567" w:leftChars="0" w:firstLine="153" w:firstLineChars="0"/>
        <w:jc w:val="both"/>
        <w:rPr>
          <w:rFonts w:ascii="Times New Roman" w:hAnsi="Times New Roman"/>
          <w:b w:val="0"/>
          <w:color w:val="auto"/>
          <w:sz w:val="24"/>
        </w:rPr>
      </w:pPr>
      <w:r>
        <w:rPr>
          <w:rFonts w:ascii="Times New Roman" w:hAnsi="Times New Roman"/>
          <w:b w:val="0"/>
          <w:color w:val="auto"/>
          <w:sz w:val="24"/>
        </w:rPr>
        <w:t xml:space="preserve">piegādātāju apvienība (turpmāk arī – pretendents) nolikuma </w:t>
      </w:r>
      <w:r>
        <w:rPr>
          <w:rFonts w:hint="default" w:ascii="Times New Roman" w:hAnsi="Times New Roman"/>
          <w:b w:val="0"/>
          <w:color w:val="auto"/>
          <w:sz w:val="24"/>
        </w:rPr>
        <w:t>1</w:t>
      </w:r>
      <w:r>
        <w:rPr>
          <w:rFonts w:ascii="Times New Roman" w:hAnsi="Times New Roman"/>
          <w:b w:val="0"/>
          <w:color w:val="auto"/>
          <w:sz w:val="24"/>
        </w:rPr>
        <w:t>.pielikumā “Pretendenta pieteikums”, norādot visus apvienības dalībniekus. Pretendenta piedāvājumam jāpievieno visu apvienības dalībnieku parakstīta vienošanās. Vienošanās tekstā jāiekļauj:</w:t>
      </w:r>
    </w:p>
    <w:p>
      <w:pPr>
        <w:numPr>
          <w:ilvl w:val="0"/>
          <w:numId w:val="9"/>
        </w:numPr>
        <w:tabs>
          <w:tab w:val="clear" w:pos="2040"/>
        </w:tabs>
        <w:ind w:left="2552" w:hanging="425"/>
        <w:jc w:val="both"/>
        <w:rPr>
          <w:color w:val="auto"/>
        </w:rPr>
      </w:pPr>
      <w:r>
        <w:rPr>
          <w:color w:val="auto"/>
        </w:rPr>
        <w:t>nosacījums, ka katrs apvienības dalībnieks atsevišķi un visi kopā ir atbildīgi par iepirkuma līguma izpildi;</w:t>
      </w:r>
    </w:p>
    <w:p>
      <w:pPr>
        <w:numPr>
          <w:ilvl w:val="0"/>
          <w:numId w:val="9"/>
        </w:numPr>
        <w:tabs>
          <w:tab w:val="clear" w:pos="2040"/>
        </w:tabs>
        <w:ind w:left="2552" w:hanging="425"/>
        <w:jc w:val="both"/>
        <w:rPr>
          <w:color w:val="auto"/>
        </w:rPr>
      </w:pPr>
      <w:r>
        <w:rPr>
          <w:color w:val="auto"/>
        </w:rPr>
        <w:t>galvenais dalībnieks, kurš pilnvarots parakstīt piedāvājumu, iepirkuma līgumu un citus dokumentus, saņemt un izdot rīkojumus piegādātāja apvienības dalībnieku vārdā, kā arī saņemt maksājumus no pasūtītāja.</w:t>
      </w:r>
    </w:p>
    <w:p>
      <w:pPr>
        <w:tabs>
          <w:tab w:val="left" w:pos="1800"/>
        </w:tabs>
        <w:spacing w:before="120" w:after="120"/>
        <w:jc w:val="both"/>
        <w:rPr>
          <w:i/>
          <w:color w:val="auto"/>
        </w:rPr>
      </w:pPr>
      <w:r>
        <w:rPr>
          <w:i/>
          <w:color w:val="auto"/>
        </w:rPr>
        <w:t>Ja ar piegādātāju apvienību tiks nolemts slēgt iepirkuma līgumu, tad pirms iepirkuma līguma noslēgšanas piegādātāju apvienībai jānoslēdz sabiedrības līgums Civillikuma 2241. – 2280.pantā noteiktajā kārtībā un viens tā eksemplārs (oriģināls vai kopija, ja tiek uzrādīts oriģināls) jāiesniedz Pasūtītājam. Sabiedrības līgumu var aizstāt ar pilnsabiedrības vai komandītsabiedrības nodibināšanu, iesniedzot reģistrācijas dokumenta kopiju.</w:t>
      </w:r>
    </w:p>
    <w:p>
      <w:pPr>
        <w:numPr>
          <w:ilvl w:val="0"/>
          <w:numId w:val="10"/>
        </w:numPr>
        <w:tabs>
          <w:tab w:val="clear" w:pos="425"/>
        </w:tabs>
        <w:spacing w:before="120" w:after="120"/>
        <w:ind w:left="705" w:leftChars="0" w:firstLine="15" w:firstLineChars="0"/>
        <w:jc w:val="both"/>
        <w:rPr>
          <w:rFonts w:ascii="Times New Roman" w:hAnsi="Times New Roman"/>
          <w:b w:val="0"/>
          <w:color w:val="auto"/>
          <w:sz w:val="24"/>
        </w:rPr>
      </w:pPr>
      <w:r>
        <w:rPr>
          <w:rFonts w:ascii="Times New Roman" w:hAnsi="Times New Roman"/>
          <w:b w:val="0"/>
          <w:color w:val="auto"/>
          <w:sz w:val="24"/>
        </w:rPr>
        <w:t>Personālsabiedrība (pilnsabiedrība vai komandītsabiedrība) (turpmāk arī – pretendents), iepirkuma nolikuma 3.pielikumā “Pretendenta pieteikums” norādot visus sabiedrības dalībniekus.</w:t>
      </w:r>
    </w:p>
    <w:p>
      <w:pPr>
        <w:numPr>
          <w:ilvl w:val="0"/>
          <w:numId w:val="11"/>
        </w:numPr>
        <w:suppressAutoHyphens/>
        <w:spacing w:after="0" w:line="240" w:lineRule="auto"/>
        <w:ind w:left="425" w:leftChars="0" w:hanging="425" w:firstLineChars="0"/>
        <w:jc w:val="both"/>
        <w:rPr>
          <w:rFonts w:eastAsia="Times New Roman" w:cs="Times New Roman"/>
          <w:color w:val="auto"/>
          <w:szCs w:val="24"/>
          <w:lang w:eastAsia="ar-SA"/>
        </w:rPr>
      </w:pPr>
      <w:r>
        <w:rPr>
          <w:rFonts w:eastAsia="Times New Roman" w:cs="Times New Roman"/>
          <w:color w:val="auto"/>
          <w:szCs w:val="24"/>
          <w:lang w:eastAsia="ar-SA"/>
        </w:rPr>
        <w:t>Pretendenta saimnieciskajam, finansiālajam stāvoklim un tehniskajām iespējām izvirzītas sekojošas minimālās prasības:</w:t>
      </w:r>
      <w:bookmarkStart w:id="25" w:name="_Toc226510441"/>
      <w:bookmarkEnd w:id="25"/>
      <w:bookmarkStart w:id="26" w:name="_Toc226510816"/>
      <w:bookmarkEnd w:id="26"/>
      <w:bookmarkStart w:id="27" w:name="_Toc226776727"/>
      <w:bookmarkEnd w:id="27"/>
      <w:bookmarkStart w:id="28" w:name="_Toc226778844"/>
      <w:bookmarkEnd w:id="28"/>
      <w:bookmarkStart w:id="29" w:name="_Toc226779259"/>
      <w:bookmarkEnd w:id="29"/>
      <w:bookmarkStart w:id="30" w:name="_Toc226887363"/>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Pretendentu kvalifikācijas prasības ir obligātas visiem pretendentiem, kas vēlas iegūt tiesības noslēgt līgumu;</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b w:val="0"/>
          <w:bCs w:val="0"/>
          <w:color w:val="auto"/>
          <w:szCs w:val="24"/>
          <w:lang w:eastAsia="ar-SA"/>
        </w:rPr>
      </w:pPr>
      <w:r>
        <w:rPr>
          <w:rFonts w:eastAsia="Times New Roman" w:cs="Times New Roman"/>
          <w:color w:val="auto"/>
          <w:szCs w:val="24"/>
          <w:lang w:eastAsia="ar-SA"/>
        </w:rPr>
        <w:t>Pretendentam pieejami atbilstošas kvalifikācijas sertificēti darbinieki, kuriem piešķirti Elektrodrošības grupa B vai C līmeņa sertifikāti (jābūt spēkā esošam visa pakalpojuma sniegšanas periodā);</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Pretendenta piedāvātiem 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izsniegti</w:t>
      </w:r>
      <w:r>
        <w:rPr>
          <w:rFonts w:eastAsia="Times New Roman" w:cs="Times New Roman"/>
          <w:b w:val="0"/>
          <w:bCs w:val="0"/>
          <w:color w:val="auto"/>
          <w:szCs w:val="24"/>
          <w:lang w:eastAsia="ar-SA"/>
        </w:rPr>
        <w:t xml:space="preserve"> Latvijas Elektroenerģētiķu un Energobūvnieku (LEEA) vai Latvijas Elektriķu Brālības (LEB) atbilstoši likumdošanas prasībām.</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color w:val="auto"/>
        </w:rPr>
        <w:t xml:space="preserve">Pretendents līguma slēgšanas tiesību piešķiršanas gadījumā, 5 (piecu) darba dienu laikā no līguma spēkā stāšanās dienas, bet ne vēlāk kā pirms pakalpojuma uzsākšanas veiks savas civiltiesiskās atbildības apdrošināšanu konkrētajā/-jos objektā/-os par līguma izpildes laikā pretendenta darbības vai bezdarbības rezultātā pasūtītājam un trešajām  personām nodarīto zaudējumu atlīdzināšanu ar kopējo atbildības limitu ne mazāku kā EUR </w:t>
      </w:r>
      <w:r>
        <w:rPr>
          <w:rFonts w:hint="default"/>
          <w:color w:val="auto"/>
        </w:rPr>
        <w:t>30</w:t>
      </w:r>
      <w:r>
        <w:rPr>
          <w:color w:val="auto"/>
        </w:rPr>
        <w:t xml:space="preserve"> 000,00 (</w:t>
      </w:r>
      <w:r>
        <w:rPr>
          <w:rFonts w:hint="default"/>
          <w:color w:val="auto"/>
        </w:rPr>
        <w:t xml:space="preserve">trīsdesmit </w:t>
      </w:r>
      <w:r>
        <w:rPr>
          <w:color w:val="auto"/>
        </w:rPr>
        <w:t xml:space="preserve">tūkstoši euro, 00 centi) un pašrisku ne lielāku kā </w:t>
      </w:r>
      <w:r>
        <w:rPr>
          <w:rFonts w:hint="default"/>
          <w:color w:val="auto"/>
        </w:rPr>
        <w:t>3</w:t>
      </w:r>
      <w:r>
        <w:rPr>
          <w:color w:val="auto"/>
        </w:rPr>
        <w:t>00,00 (</w:t>
      </w:r>
      <w:r>
        <w:rPr>
          <w:rFonts w:hint="default"/>
          <w:color w:val="auto"/>
        </w:rPr>
        <w:t xml:space="preserve">trīs </w:t>
      </w:r>
      <w:r>
        <w:rPr>
          <w:color w:val="auto"/>
        </w:rPr>
        <w:t>simti euro, 00 centi) EUR un atbildības limitu par katru gadījumu ne mazāku kā EUR</w:t>
      </w:r>
      <w:r>
        <w:rPr>
          <w:rFonts w:hint="default"/>
          <w:color w:val="auto"/>
        </w:rPr>
        <w:t xml:space="preserve"> 30</w:t>
      </w:r>
      <w:r>
        <w:rPr>
          <w:color w:val="auto"/>
        </w:rPr>
        <w:t xml:space="preserve"> 000,00 (</w:t>
      </w:r>
      <w:r>
        <w:rPr>
          <w:rFonts w:hint="default"/>
          <w:color w:val="auto"/>
        </w:rPr>
        <w:t xml:space="preserve">trīsdesmit </w:t>
      </w:r>
      <w:r>
        <w:rPr>
          <w:color w:val="auto"/>
        </w:rPr>
        <w:t xml:space="preserve">tūkstoši euro, 00 centi). </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Pretendentam ir jābūt sertificētam atbilstoši ISO Vadības standartiem vai ieviestas Kvalitātes vadības sistēma ISO  9001 un Vides vadības sistēmas ISO 14001 vai alternatīvas sistēmas attiecīgā darbības veida – projektēšana, būvdarbu vadīšana, elektrisko mērījumu veikšana;</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Pretendenta rīcībā ir nepieciešamās profesionālās, tehniskās un organizatoriskās spējas, personāls, finanšu resursi un infrastruktūra, kas nepieciešama iepirkuma realizācijai</w:t>
      </w:r>
      <w:bookmarkEnd w:id="30"/>
      <w:r>
        <w:rPr>
          <w:rFonts w:eastAsia="Times New Roman" w:cs="Times New Roman"/>
          <w:color w:val="auto"/>
          <w:szCs w:val="24"/>
          <w:lang w:eastAsia="ar-SA"/>
        </w:rPr>
        <w:t>;</w:t>
      </w:r>
      <w:bookmarkStart w:id="31" w:name="_Ref280089097"/>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 xml:space="preserve">Pretendenta gada finanšu vidējais apgrozījums pēdējo </w:t>
      </w:r>
      <w:r>
        <w:rPr>
          <w:rFonts w:hint="default" w:eastAsia="Times New Roman" w:cs="Times New Roman"/>
          <w:color w:val="auto"/>
          <w:szCs w:val="24"/>
          <w:lang w:eastAsia="ar-SA"/>
        </w:rPr>
        <w:t>trīs</w:t>
      </w:r>
      <w:r>
        <w:rPr>
          <w:rFonts w:eastAsia="Times New Roman" w:cs="Times New Roman"/>
          <w:color w:val="auto"/>
          <w:szCs w:val="24"/>
          <w:lang w:eastAsia="ar-SA"/>
        </w:rPr>
        <w:t xml:space="preserve"> gadu (t.i. 2016.</w:t>
      </w:r>
      <w:r>
        <w:rPr>
          <w:rFonts w:hint="default" w:eastAsia="Times New Roman" w:cs="Times New Roman"/>
          <w:color w:val="auto"/>
          <w:szCs w:val="24"/>
          <w:lang w:eastAsia="ar-SA"/>
        </w:rPr>
        <w:t>,</w:t>
      </w:r>
      <w:r>
        <w:rPr>
          <w:rFonts w:eastAsia="Times New Roman" w:cs="Times New Roman"/>
          <w:color w:val="auto"/>
          <w:szCs w:val="24"/>
          <w:lang w:eastAsia="ar-SA"/>
        </w:rPr>
        <w:t xml:space="preserve"> 2017.</w:t>
      </w:r>
      <w:r>
        <w:rPr>
          <w:rFonts w:hint="default" w:eastAsia="Times New Roman" w:cs="Times New Roman"/>
          <w:color w:val="auto"/>
          <w:szCs w:val="24"/>
          <w:lang w:eastAsia="ar-SA"/>
        </w:rPr>
        <w:t xml:space="preserve"> un 2018. </w:t>
      </w:r>
      <w:r>
        <w:rPr>
          <w:rFonts w:eastAsia="Times New Roman" w:cs="Times New Roman"/>
          <w:color w:val="auto"/>
          <w:szCs w:val="24"/>
          <w:lang w:eastAsia="ar-SA"/>
        </w:rPr>
        <w:t>gadā) laikā ir ne mazāks kā piedāvātā kopējā līgumcen</w:t>
      </w:r>
      <w:bookmarkEnd w:id="31"/>
      <w:r>
        <w:rPr>
          <w:rFonts w:eastAsia="Times New Roman" w:cs="Times New Roman"/>
          <w:color w:val="auto"/>
          <w:szCs w:val="24"/>
          <w:lang w:eastAsia="ar-SA"/>
        </w:rPr>
        <w:t>a;</w:t>
      </w:r>
    </w:p>
    <w:p>
      <w:pPr>
        <w:numPr>
          <w:ilvl w:val="0"/>
          <w:numId w:val="12"/>
        </w:numPr>
        <w:tabs>
          <w:tab w:val="clear" w:pos="425"/>
        </w:tabs>
        <w:suppressAutoHyphens/>
        <w:spacing w:after="0" w:line="240" w:lineRule="auto"/>
        <w:ind w:left="705" w:leftChars="0" w:firstLine="15" w:firstLineChars="0"/>
        <w:jc w:val="both"/>
        <w:rPr>
          <w:rFonts w:eastAsia="Times New Roman" w:cs="Times New Roman"/>
          <w:color w:val="auto"/>
          <w:szCs w:val="24"/>
          <w:lang w:eastAsia="ar-SA"/>
        </w:rPr>
      </w:pPr>
      <w:r>
        <w:rPr>
          <w:rFonts w:eastAsia="Times New Roman" w:cs="Times New Roman"/>
          <w:color w:val="auto"/>
          <w:szCs w:val="24"/>
          <w:lang w:eastAsia="ar-SA"/>
        </w:rPr>
        <w:t>Pretendents ir realizējis vismaz 3 (trīs) iepirkuma priekšmetam līdzīgus projektus;</w:t>
      </w:r>
    </w:p>
    <w:p>
      <w:pPr>
        <w:numPr>
          <w:ilvl w:val="0"/>
          <w:numId w:val="12"/>
        </w:numPr>
        <w:tabs>
          <w:tab w:val="clear" w:pos="425"/>
        </w:tabs>
        <w:suppressAutoHyphens/>
        <w:spacing w:after="0" w:line="240" w:lineRule="auto"/>
        <w:ind w:left="705" w:leftChars="0" w:firstLine="15" w:firstLineChars="0"/>
        <w:jc w:val="both"/>
        <w:rPr>
          <w:color w:val="auto"/>
        </w:rPr>
      </w:pPr>
      <w:r>
        <w:rPr>
          <w:rFonts w:eastAsia="Times New Roman" w:cs="Times New Roman"/>
          <w:color w:val="auto"/>
          <w:szCs w:val="24"/>
          <w:lang w:eastAsia="ar-SA"/>
        </w:rPr>
        <w:t>Uz pretendentu neattiecas neviens no Publisko iepirkumu likuma 9.panta astotajā daļā noteiktajiem izslēgšanas kritērijiem.</w:t>
      </w:r>
    </w:p>
    <w:p>
      <w:pPr>
        <w:numPr>
          <w:ilvl w:val="0"/>
          <w:numId w:val="12"/>
        </w:numPr>
        <w:tabs>
          <w:tab w:val="clear" w:pos="425"/>
        </w:tabs>
        <w:suppressAutoHyphens/>
        <w:spacing w:after="0" w:line="240" w:lineRule="auto"/>
        <w:ind w:left="705" w:leftChars="0" w:firstLine="15" w:firstLineChars="0"/>
        <w:jc w:val="both"/>
        <w:rPr>
          <w:color w:val="auto"/>
        </w:rPr>
      </w:pPr>
      <w:r>
        <w:rPr>
          <w:color w:val="auto"/>
        </w:rPr>
        <w:t xml:space="preserve">Pretendenta pieteikums (nolikuma </w:t>
      </w:r>
      <w:r>
        <w:rPr>
          <w:rFonts w:hint="default"/>
          <w:color w:val="auto"/>
        </w:rPr>
        <w:t>1</w:t>
      </w:r>
      <w:r>
        <w:rPr>
          <w:color w:val="auto"/>
        </w:rPr>
        <w:t>.pielikums), kas jāparaksta pretendenta pārstāvim ar pārstāvības tiesībām vai tā pilnvarotai personai</w:t>
      </w:r>
      <w:r>
        <w:rPr>
          <w:rFonts w:hint="default"/>
          <w:color w:val="auto"/>
        </w:rPr>
        <w:t>;</w:t>
      </w:r>
    </w:p>
    <w:p>
      <w:pPr>
        <w:numPr>
          <w:ilvl w:val="0"/>
          <w:numId w:val="12"/>
        </w:numPr>
        <w:tabs>
          <w:tab w:val="clear" w:pos="425"/>
        </w:tabs>
        <w:suppressAutoHyphens/>
        <w:spacing w:after="0" w:line="240" w:lineRule="auto"/>
        <w:ind w:left="705" w:leftChars="0" w:firstLine="15" w:firstLineChars="0"/>
        <w:jc w:val="both"/>
        <w:rPr>
          <w:color w:val="auto"/>
        </w:rPr>
      </w:pPr>
      <w:r>
        <w:rPr>
          <w:color w:val="auto"/>
        </w:rPr>
        <w:t>Pretendenta pārstāvja ar pārstāvības tiesībām izdota pilnvara (oriģināls vai apliecināta kopija) citai personai parakstīt pieteikumu un/vai iepirkuma līgumu, ja tā atšķiras no Latvijas Republikas Uzņēmumu reģistrā norādīta.</w:t>
      </w:r>
    </w:p>
    <w:p>
      <w:pPr>
        <w:numPr>
          <w:ilvl w:val="0"/>
          <w:numId w:val="12"/>
        </w:numPr>
        <w:tabs>
          <w:tab w:val="clear" w:pos="425"/>
        </w:tabs>
        <w:suppressAutoHyphens/>
        <w:spacing w:after="0" w:line="240" w:lineRule="auto"/>
        <w:ind w:left="705" w:leftChars="0" w:firstLine="15" w:firstLineChars="0"/>
        <w:jc w:val="both"/>
        <w:rPr>
          <w:color w:val="auto"/>
        </w:rPr>
      </w:pPr>
      <w:r>
        <w:rPr>
          <w:color w:val="auto"/>
        </w:rPr>
        <w:t>Ja pretendents ir piegādātāju apvienība un sabiedrības līgumā nav atrunātas pārstāvības tiesības, pieteikuma oriģināls jāparaksta katras personas, kas iekļauta piegādātāju apvienībā, pārstāvim ar pārstāvības tiesībām</w:t>
      </w:r>
      <w:r>
        <w:rPr>
          <w:rFonts w:hint="default"/>
          <w:color w:val="auto"/>
        </w:rPr>
        <w:t>.</w:t>
      </w:r>
    </w:p>
    <w:p>
      <w:pPr>
        <w:numPr>
          <w:ilvl w:val="0"/>
          <w:numId w:val="12"/>
        </w:numPr>
        <w:tabs>
          <w:tab w:val="clear" w:pos="425"/>
        </w:tabs>
        <w:suppressAutoHyphens/>
        <w:spacing w:after="0" w:line="240" w:lineRule="auto"/>
        <w:ind w:left="705" w:leftChars="0" w:firstLine="15" w:firstLineChars="0"/>
        <w:jc w:val="both"/>
        <w:rPr>
          <w:color w:val="auto"/>
        </w:rPr>
      </w:pPr>
      <w:r>
        <w:rPr>
          <w:color w:val="auto"/>
        </w:rPr>
        <w:t>Pretendenta, kas reģistrēts Latvijas Republikas Uzņēmumu reģistrā, reģistrācijas faktu komisija pārbaudīs publiskajās datu bāzēs.</w:t>
      </w:r>
    </w:p>
    <w:p>
      <w:pPr>
        <w:numPr>
          <w:ilvl w:val="0"/>
          <w:numId w:val="12"/>
        </w:numPr>
        <w:tabs>
          <w:tab w:val="clear" w:pos="425"/>
        </w:tabs>
        <w:suppressAutoHyphens/>
        <w:spacing w:after="0" w:line="240" w:lineRule="auto"/>
        <w:ind w:left="705" w:leftChars="0" w:firstLine="15" w:firstLineChars="0"/>
        <w:jc w:val="both"/>
        <w:rPr>
          <w:rFonts w:ascii="Times New Roman" w:hAnsi="Times New Roman" w:cs="Times New Roman"/>
          <w:color w:val="auto"/>
          <w:sz w:val="24"/>
          <w:szCs w:val="24"/>
        </w:rPr>
      </w:pPr>
      <w:r>
        <w:rPr>
          <w:color w:val="auto"/>
        </w:rPr>
        <w:t>Ja pretendents ir reģistrēts ārvalstīs, tad pretendents iesniedz līdzvērtīgas komercdarbību reģistrējošas iestādes ārvalstīs izsniegtu komersanta reģistrācijas apliecības kopiju vai citas ārvalstu institūcijas izsniegtu izziņas kopiju.</w:t>
      </w:r>
    </w:p>
    <w:p>
      <w:pPr>
        <w:numPr>
          <w:ilvl w:val="0"/>
          <w:numId w:val="12"/>
        </w:numPr>
        <w:tabs>
          <w:tab w:val="clear" w:pos="425"/>
        </w:tabs>
        <w:suppressAutoHyphens/>
        <w:spacing w:after="0" w:line="240" w:lineRule="auto"/>
        <w:ind w:left="705" w:leftChars="0" w:firstLine="15" w:firstLineChars="0"/>
        <w:jc w:val="both"/>
        <w:rPr>
          <w:rFonts w:ascii="Times New Roman" w:hAnsi="Times New Roman" w:cs="Times New Roman"/>
          <w:color w:val="auto"/>
          <w:sz w:val="24"/>
          <w:szCs w:val="24"/>
        </w:rPr>
      </w:pPr>
      <w:r>
        <w:rPr>
          <w:bCs/>
          <w:color w:val="auto"/>
          <w:sz w:val="24"/>
          <w:szCs w:val="24"/>
        </w:rPr>
        <w:t xml:space="preserve"> </w:t>
      </w:r>
      <w:r>
        <w:rPr>
          <w:rFonts w:eastAsia="Times-Roman" w:cs="Times-Roman"/>
          <w:color w:val="auto"/>
          <w:sz w:val="24"/>
          <w:szCs w:val="24"/>
        </w:rPr>
        <w:t>LR akreditētas institūcijas izsniegta vismaz 2 (divas) elektromontiera sertifikāta kopijas, kas apliecina, ka elektromontieris ir apmācīts un tiesīgs veikt elektroietaišu līdz 1kV spriegumu profilaktiskos mērījumus un pārbaudes, t.sk. izolācijas pretestības mērījumus, cilpas „fāze-nulle” pretestības mērījumus, zemējumietaises pretestības mērījumus, ķēdes starp zemējumietaisi un zemējamo objektu pārbaudi</w:t>
      </w:r>
      <w:r>
        <w:rPr>
          <w:rFonts w:hint="default" w:eastAsia="Times-Roman" w:cs="Times-Roman"/>
          <w:color w:val="auto"/>
          <w:sz w:val="24"/>
          <w:szCs w:val="24"/>
        </w:rPr>
        <w:t>,</w:t>
      </w:r>
    </w:p>
    <w:p>
      <w:pPr>
        <w:numPr>
          <w:ilvl w:val="0"/>
          <w:numId w:val="12"/>
        </w:numPr>
        <w:tabs>
          <w:tab w:val="clear" w:pos="425"/>
        </w:tabs>
        <w:suppressAutoHyphens/>
        <w:spacing w:after="0" w:line="240" w:lineRule="auto"/>
        <w:ind w:left="705" w:leftChars="0" w:firstLine="15" w:firstLineChars="0"/>
        <w:jc w:val="both"/>
        <w:rPr>
          <w:rFonts w:ascii="Times New Roman" w:hAnsi="Times New Roman" w:cs="Times New Roman"/>
          <w:color w:val="auto"/>
          <w:sz w:val="24"/>
          <w:szCs w:val="24"/>
        </w:rPr>
      </w:pPr>
      <w:r>
        <w:rPr>
          <w:rFonts w:ascii="Times New Roman" w:hAnsi="Times New Roman" w:cs="Times New Roman"/>
          <w:color w:val="auto"/>
          <w:sz w:val="24"/>
          <w:szCs w:val="24"/>
        </w:rPr>
        <w:t>Pretendentam jāpievieno apliecinājums, ka viņa īpašumā ir šādi mērinstrumenti un ierīces:</w:t>
      </w:r>
    </w:p>
    <w:p>
      <w:pPr>
        <w:pStyle w:val="5"/>
        <w:numPr>
          <w:ilvl w:val="2"/>
          <w:numId w:val="9"/>
        </w:numPr>
        <w:tabs>
          <w:tab w:val="left" w:pos="316"/>
          <w:tab w:val="clear" w:pos="916"/>
          <w:tab w:val="clear" w:pos="3664"/>
        </w:tabs>
        <w:ind w:left="1200" w:leftChars="500" w:firstLine="0" w:firstLineChars="0"/>
        <w:jc w:val="both"/>
        <w:rPr>
          <w:rFonts w:ascii="Times New Roman" w:hAnsi="Times New Roman" w:cs="Times New Roman"/>
          <w:color w:val="auto"/>
          <w:sz w:val="24"/>
          <w:szCs w:val="24"/>
        </w:rPr>
      </w:pPr>
      <w:r>
        <w:rPr>
          <w:rFonts w:ascii="Times New Roman" w:hAnsi="Times New Roman" w:cs="Times New Roman"/>
          <w:color w:val="auto"/>
          <w:sz w:val="24"/>
          <w:szCs w:val="24"/>
        </w:rPr>
        <w:t>Termokamera ar spēkā esošu kalibrēšanas sertifikātu un funkciju vienlaicīgi veikt gan termogrāfisko, gan standarta fotogrāfijas;</w:t>
      </w:r>
    </w:p>
    <w:p>
      <w:pPr>
        <w:pStyle w:val="5"/>
        <w:numPr>
          <w:ilvl w:val="2"/>
          <w:numId w:val="9"/>
        </w:numPr>
        <w:tabs>
          <w:tab w:val="left" w:pos="316"/>
          <w:tab w:val="clear" w:pos="916"/>
          <w:tab w:val="clear" w:pos="3664"/>
        </w:tabs>
        <w:ind w:left="1200" w:leftChars="500" w:firstLine="0" w:firstLineChars="0"/>
        <w:jc w:val="both"/>
        <w:rPr>
          <w:rFonts w:ascii="Times New Roman" w:hAnsi="Times New Roman" w:cs="Times New Roman"/>
          <w:color w:val="auto"/>
          <w:sz w:val="24"/>
          <w:szCs w:val="24"/>
        </w:rPr>
      </w:pPr>
      <w:r>
        <w:rPr>
          <w:rFonts w:ascii="Times New Roman" w:hAnsi="Times New Roman" w:cs="Times New Roman"/>
          <w:color w:val="auto"/>
          <w:sz w:val="24"/>
          <w:szCs w:val="24"/>
        </w:rPr>
        <w:t>Zemējuma nepārtrauktības mērīšanas iekārta ar spēkā esošu kalibrēšanas sertifikātu;</w:t>
      </w:r>
    </w:p>
    <w:p>
      <w:pPr>
        <w:pStyle w:val="5"/>
        <w:numPr>
          <w:ilvl w:val="2"/>
          <w:numId w:val="9"/>
        </w:numPr>
        <w:tabs>
          <w:tab w:val="left" w:pos="316"/>
          <w:tab w:val="clear" w:pos="916"/>
          <w:tab w:val="clear" w:pos="3664"/>
        </w:tabs>
        <w:ind w:left="1200" w:leftChars="500" w:firstLine="0" w:firstLineChars="0"/>
        <w:jc w:val="both"/>
        <w:rPr>
          <w:rFonts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 xml:space="preserve">Izolācijas pretestības </w:t>
      </w:r>
      <w:r>
        <w:rPr>
          <w:rFonts w:ascii="Times New Roman" w:hAnsi="Times New Roman" w:cs="Times New Roman"/>
          <w:b w:val="0"/>
          <w:bCs w:val="0"/>
          <w:color w:val="auto"/>
          <w:sz w:val="24"/>
          <w:szCs w:val="24"/>
        </w:rPr>
        <w:t>mērītājs ar spēkā esošu kalibrēšanas sertifikātu</w:t>
      </w:r>
      <w:r>
        <w:rPr>
          <w:rFonts w:hint="default" w:ascii="Times New Roman" w:hAnsi="Times New Roman" w:cs="Times New Roman"/>
          <w:b w:val="0"/>
          <w:bCs w:val="0"/>
          <w:color w:val="auto"/>
          <w:sz w:val="24"/>
          <w:szCs w:val="24"/>
        </w:rPr>
        <w:t xml:space="preserve">; </w:t>
      </w:r>
    </w:p>
    <w:p>
      <w:pPr>
        <w:pStyle w:val="5"/>
        <w:numPr>
          <w:ilvl w:val="2"/>
          <w:numId w:val="9"/>
        </w:numPr>
        <w:tabs>
          <w:tab w:val="left" w:pos="32"/>
          <w:tab w:val="left" w:pos="458"/>
          <w:tab w:val="clear" w:pos="916"/>
          <w:tab w:val="clear" w:pos="3664"/>
        </w:tabs>
        <w:ind w:left="1200" w:leftChars="500" w:firstLine="0" w:firstLineChars="0"/>
        <w:jc w:val="both"/>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Zemējuma kontūra pretestības mērītājs;</w:t>
      </w:r>
    </w:p>
    <w:p>
      <w:pPr>
        <w:pStyle w:val="5"/>
        <w:numPr>
          <w:ilvl w:val="2"/>
          <w:numId w:val="9"/>
        </w:numPr>
        <w:tabs>
          <w:tab w:val="left" w:pos="32"/>
          <w:tab w:val="left" w:pos="458"/>
          <w:tab w:val="clear" w:pos="916"/>
          <w:tab w:val="clear" w:pos="3664"/>
        </w:tabs>
        <w:ind w:left="1200" w:leftChars="500" w:firstLine="0" w:firstLineChars="0"/>
        <w:jc w:val="both"/>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Palīgiekārtas, spējīgas noslogot tīklu veicot kontaktsavienojumu pārbaudi ar termokameru.</w:t>
      </w:r>
    </w:p>
    <w:p>
      <w:pPr>
        <w:pStyle w:val="5"/>
        <w:numPr>
          <w:ilvl w:val="2"/>
          <w:numId w:val="9"/>
        </w:numPr>
        <w:tabs>
          <w:tab w:val="left" w:pos="32"/>
          <w:tab w:val="left" w:pos="458"/>
          <w:tab w:val="clear" w:pos="916"/>
          <w:tab w:val="clear" w:pos="3664"/>
        </w:tabs>
        <w:ind w:left="1200" w:leftChars="500" w:firstLine="0" w:firstLineChars="0"/>
        <w:jc w:val="both"/>
        <w:rPr>
          <w:rFonts w:ascii="Times New Roman" w:hAnsi="Times New Roman" w:cs="Times New Roman"/>
          <w:b w:val="0"/>
          <w:bCs w:val="0"/>
          <w:color w:val="auto"/>
          <w:sz w:val="24"/>
          <w:szCs w:val="24"/>
        </w:rPr>
      </w:pPr>
      <w:r>
        <w:rPr>
          <w:rFonts w:ascii="Times New Roman" w:hAnsi="Times New Roman" w:cs="Times New Roman"/>
          <w:b w:val="0"/>
          <w:bCs w:val="0"/>
          <w:color w:val="auto"/>
          <w:sz w:val="24"/>
          <w:szCs w:val="24"/>
        </w:rPr>
        <w:t>Ir atļauts lai pozīcijas 2.,3.,4. būtu apvienoti viena instrumentā.</w:t>
      </w:r>
    </w:p>
    <w:p>
      <w:pPr>
        <w:numPr>
          <w:ilvl w:val="0"/>
          <w:numId w:val="13"/>
        </w:numPr>
        <w:tabs>
          <w:tab w:val="clear" w:pos="425"/>
        </w:tabs>
        <w:suppressAutoHyphens/>
        <w:spacing w:after="0" w:line="240" w:lineRule="auto"/>
        <w:ind w:left="705" w:leftChars="0" w:firstLine="15" w:firstLineChars="0"/>
        <w:jc w:val="both"/>
        <w:rPr>
          <w:rFonts w:eastAsia="Times New Roman" w:cs="Times New Roman"/>
          <w:b w:val="0"/>
          <w:bCs w:val="0"/>
          <w:color w:val="auto"/>
          <w:szCs w:val="24"/>
          <w:lang w:eastAsia="ar-SA"/>
        </w:rPr>
      </w:pPr>
      <w:r>
        <w:rPr>
          <w:rFonts w:eastAsia="Times-Roman" w:cs="Times-Roman"/>
          <w:b w:val="0"/>
          <w:bCs w:val="0"/>
          <w:color w:val="auto"/>
        </w:rPr>
        <w:t xml:space="preserve">Pretendentam jāpievieno Objektu saraksts, kas apliecina, ka viņam ir vismaz 3 (trīs) gadu pieredze </w:t>
      </w:r>
      <w:r>
        <w:rPr>
          <w:b w:val="0"/>
          <w:bCs w:val="0"/>
          <w:color w:val="auto"/>
        </w:rPr>
        <w:t xml:space="preserve">zemējuma un zibensaizsardzības ierīču pārbaudes un elektroinstalācijas pretestības mērījumu veikšanā (pēc apjoma, EUR), </w:t>
      </w:r>
      <w:r>
        <w:rPr>
          <w:rFonts w:eastAsia="Times-Roman" w:cs="Times-Roman"/>
          <w:b w:val="0"/>
          <w:bCs w:val="0"/>
          <w:color w:val="auto"/>
        </w:rPr>
        <w:t>pievienojot vismaz 1 (vienu) pozitīvu klienta atsauksmi</w:t>
      </w:r>
      <w:r>
        <w:rPr>
          <w:rFonts w:hint="default" w:eastAsia="Times-Roman" w:cs="Times-Roman"/>
          <w:b w:val="0"/>
          <w:bCs w:val="0"/>
          <w:color w:val="auto"/>
        </w:rPr>
        <w:t>.</w:t>
      </w:r>
    </w:p>
    <w:p>
      <w:pPr>
        <w:numPr>
          <w:ilvl w:val="0"/>
          <w:numId w:val="14"/>
        </w:numPr>
        <w:suppressAutoHyphens/>
        <w:spacing w:after="0" w:line="240" w:lineRule="auto"/>
        <w:ind w:left="425" w:leftChars="0" w:hanging="425" w:firstLineChars="0"/>
        <w:contextualSpacing/>
        <w:jc w:val="both"/>
        <w:rPr>
          <w:rFonts w:eastAsia="Times New Roman" w:cs="Times New Roman"/>
          <w:b w:val="0"/>
          <w:bCs w:val="0"/>
          <w:color w:val="auto"/>
          <w:szCs w:val="20"/>
          <w:highlight w:val="none"/>
          <w:shd w:val="clear" w:color="auto" w:fill="auto"/>
        </w:rPr>
      </w:pPr>
      <w:r>
        <w:rPr>
          <w:rFonts w:eastAsia="Times New Roman" w:cs="Times New Roman"/>
          <w:b w:val="0"/>
          <w:bCs w:val="0"/>
          <w:color w:val="auto"/>
          <w:szCs w:val="20"/>
          <w:highlight w:val="none"/>
          <w:shd w:val="clear" w:color="auto" w:fill="auto"/>
        </w:rPr>
        <w:t>Pretendentam ir jāiesniedz šādi dokumenti:</w:t>
      </w:r>
    </w:p>
    <w:p>
      <w:pPr>
        <w:numPr>
          <w:ilvl w:val="0"/>
          <w:numId w:val="15"/>
        </w:numPr>
        <w:tabs>
          <w:tab w:val="clear" w:pos="425"/>
        </w:tabs>
        <w:suppressAutoHyphens/>
        <w:spacing w:after="0" w:line="240" w:lineRule="auto"/>
        <w:ind w:left="705" w:leftChars="0" w:firstLine="15" w:firstLineChars="0"/>
        <w:contextualSpacing/>
        <w:jc w:val="both"/>
        <w:rPr>
          <w:rFonts w:eastAsia="Times New Roman" w:cs="Times New Roman"/>
          <w:b w:val="0"/>
          <w:bCs w:val="0"/>
          <w:color w:val="auto"/>
          <w:szCs w:val="20"/>
        </w:rPr>
      </w:pPr>
      <w:r>
        <w:rPr>
          <w:rFonts w:eastAsia="Times New Roman" w:cs="Times New Roman"/>
          <w:b w:val="0"/>
          <w:bCs w:val="0"/>
          <w:color w:val="auto"/>
          <w:szCs w:val="20"/>
          <w:highlight w:val="none"/>
          <w:shd w:val="clear" w:color="auto" w:fill="auto"/>
        </w:rPr>
        <w:t xml:space="preserve">Pretendenta aizpildīts pieteikums dalībai iepirkumā, atbilstoši šā nolikuma </w:t>
      </w:r>
      <w:r>
        <w:rPr>
          <w:rFonts w:eastAsia="Times New Roman" w:cs="Times New Roman"/>
          <w:b w:val="0"/>
          <w:bCs w:val="0"/>
          <w:color w:val="auto"/>
          <w:szCs w:val="20"/>
        </w:rPr>
        <w:t>pielikumam Nr.1;</w:t>
      </w:r>
    </w:p>
    <w:p>
      <w:pPr>
        <w:numPr>
          <w:ilvl w:val="0"/>
          <w:numId w:val="15"/>
        </w:numPr>
        <w:tabs>
          <w:tab w:val="clear" w:pos="425"/>
        </w:tabs>
        <w:suppressAutoHyphens/>
        <w:spacing w:after="0" w:line="240" w:lineRule="auto"/>
        <w:ind w:left="705" w:leftChars="0" w:firstLine="15" w:firstLineChars="0"/>
        <w:contextualSpacing/>
        <w:jc w:val="both"/>
        <w:rPr>
          <w:rFonts w:eastAsia="Times New Roman" w:cs="Times New Roman"/>
          <w:b w:val="0"/>
          <w:bCs w:val="0"/>
          <w:color w:val="auto"/>
          <w:szCs w:val="20"/>
        </w:rPr>
      </w:pPr>
      <w:r>
        <w:rPr>
          <w:rFonts w:eastAsia="Times New Roman" w:cs="Times New Roman"/>
          <w:b w:val="0"/>
          <w:bCs w:val="0"/>
          <w:color w:val="auto"/>
          <w:szCs w:val="20"/>
        </w:rPr>
        <w:t>Saskaņā ar šā nolikuma pielikumu Nr.2 aizpildīts „Finanšu piedāvājums”;</w:t>
      </w:r>
    </w:p>
    <w:p>
      <w:pPr>
        <w:numPr>
          <w:ilvl w:val="0"/>
          <w:numId w:val="15"/>
        </w:numPr>
        <w:tabs>
          <w:tab w:val="clear" w:pos="425"/>
        </w:tabs>
        <w:suppressAutoHyphens/>
        <w:spacing w:after="0" w:line="240" w:lineRule="auto"/>
        <w:ind w:left="705" w:leftChars="0" w:firstLine="15" w:firstLineChars="0"/>
        <w:contextualSpacing/>
        <w:jc w:val="both"/>
        <w:rPr>
          <w:rFonts w:eastAsia="Times New Roman" w:cs="Times New Roman"/>
          <w:b w:val="0"/>
          <w:bCs w:val="0"/>
          <w:color w:val="auto"/>
          <w:szCs w:val="20"/>
        </w:rPr>
      </w:pPr>
      <w:r>
        <w:rPr>
          <w:rFonts w:eastAsia="Times New Roman" w:cs="Times New Roman"/>
          <w:b w:val="0"/>
          <w:bCs w:val="0"/>
          <w:color w:val="auto"/>
          <w:szCs w:val="20"/>
        </w:rPr>
        <w:t>Saskaņā ar šā nolikuma pielikumu Nr.</w:t>
      </w:r>
      <w:r>
        <w:rPr>
          <w:rFonts w:hint="default" w:eastAsia="Times New Roman" w:cs="Times New Roman"/>
          <w:b w:val="0"/>
          <w:bCs w:val="0"/>
          <w:color w:val="auto"/>
          <w:szCs w:val="20"/>
        </w:rPr>
        <w:t>3</w:t>
      </w:r>
      <w:r>
        <w:rPr>
          <w:rFonts w:eastAsia="Times New Roman" w:cs="Times New Roman"/>
          <w:b w:val="0"/>
          <w:bCs w:val="0"/>
          <w:color w:val="auto"/>
          <w:szCs w:val="20"/>
        </w:rPr>
        <w:t xml:space="preserve"> aizpildīts „</w:t>
      </w:r>
      <w:r>
        <w:rPr>
          <w:rFonts w:hint="default" w:eastAsia="Times New Roman" w:cs="Times New Roman"/>
          <w:b w:val="0"/>
          <w:bCs w:val="0"/>
          <w:color w:val="auto"/>
          <w:szCs w:val="20"/>
        </w:rPr>
        <w:t>Pretendenta finanšu apgrozījums</w:t>
      </w:r>
      <w:r>
        <w:rPr>
          <w:rFonts w:eastAsia="Times New Roman" w:cs="Times New Roman"/>
          <w:b w:val="0"/>
          <w:bCs w:val="0"/>
          <w:color w:val="auto"/>
          <w:szCs w:val="20"/>
        </w:rPr>
        <w:t>”</w:t>
      </w:r>
      <w:r>
        <w:rPr>
          <w:rFonts w:hint="default" w:eastAsia="Times New Roman" w:cs="Times New Roman"/>
          <w:b w:val="0"/>
          <w:bCs w:val="0"/>
          <w:color w:val="auto"/>
          <w:szCs w:val="20"/>
        </w:rPr>
        <w:t>;</w:t>
      </w:r>
    </w:p>
    <w:p>
      <w:pPr>
        <w:numPr>
          <w:ilvl w:val="0"/>
          <w:numId w:val="15"/>
        </w:numPr>
        <w:tabs>
          <w:tab w:val="clear" w:pos="425"/>
        </w:tabs>
        <w:suppressAutoHyphens/>
        <w:spacing w:after="0" w:line="240" w:lineRule="auto"/>
        <w:ind w:left="705" w:leftChars="0" w:firstLine="15" w:firstLineChars="0"/>
        <w:contextualSpacing/>
        <w:jc w:val="both"/>
        <w:rPr>
          <w:rFonts w:eastAsia="Times New Roman" w:cs="Times New Roman"/>
          <w:b w:val="0"/>
          <w:bCs w:val="0"/>
          <w:color w:val="auto"/>
          <w:szCs w:val="20"/>
        </w:rPr>
      </w:pPr>
      <w:r>
        <w:rPr>
          <w:rFonts w:eastAsia="Times New Roman" w:cs="Times New Roman"/>
          <w:b w:val="0"/>
          <w:bCs w:val="0"/>
          <w:color w:val="auto"/>
          <w:szCs w:val="20"/>
        </w:rPr>
        <w:t>Saskaņā ar šā nolikuma pielikumu Nr.</w:t>
      </w:r>
      <w:r>
        <w:rPr>
          <w:rFonts w:hint="default" w:eastAsia="Times New Roman" w:cs="Times New Roman"/>
          <w:b w:val="0"/>
          <w:bCs w:val="0"/>
          <w:color w:val="auto"/>
          <w:szCs w:val="20"/>
        </w:rPr>
        <w:t>4</w:t>
      </w:r>
      <w:r>
        <w:rPr>
          <w:rFonts w:eastAsia="Times New Roman" w:cs="Times New Roman"/>
          <w:b w:val="0"/>
          <w:bCs w:val="0"/>
          <w:color w:val="auto"/>
          <w:szCs w:val="20"/>
        </w:rPr>
        <w:t xml:space="preserve"> aizpildīts „</w:t>
      </w:r>
      <w:r>
        <w:rPr>
          <w:rFonts w:hint="default" w:eastAsia="Times New Roman" w:cs="Times New Roman"/>
          <w:b w:val="0"/>
          <w:bCs w:val="0"/>
          <w:color w:val="auto"/>
          <w:szCs w:val="20"/>
        </w:rPr>
        <w:t>Pretendenta pieredzes apliecinājums</w:t>
      </w:r>
      <w:r>
        <w:rPr>
          <w:rFonts w:eastAsia="Times New Roman" w:cs="Times New Roman"/>
          <w:b w:val="0"/>
          <w:bCs w:val="0"/>
          <w:color w:val="auto"/>
          <w:szCs w:val="20"/>
        </w:rPr>
        <w:t>”</w:t>
      </w:r>
      <w:r>
        <w:rPr>
          <w:rFonts w:hint="default" w:eastAsia="Times New Roman" w:cs="Times New Roman"/>
          <w:b w:val="0"/>
          <w:bCs w:val="0"/>
          <w:color w:val="auto"/>
          <w:szCs w:val="20"/>
        </w:rPr>
        <w:t>;</w:t>
      </w:r>
    </w:p>
    <w:p>
      <w:pPr>
        <w:numPr>
          <w:ilvl w:val="0"/>
          <w:numId w:val="15"/>
        </w:numPr>
        <w:tabs>
          <w:tab w:val="clear" w:pos="425"/>
        </w:tabs>
        <w:suppressAutoHyphens/>
        <w:spacing w:after="0" w:line="240" w:lineRule="auto"/>
        <w:ind w:left="705" w:leftChars="0" w:firstLine="15" w:firstLineChars="0"/>
        <w:contextualSpacing/>
        <w:jc w:val="both"/>
        <w:rPr>
          <w:rFonts w:eastAsia="Times New Roman" w:cs="Times New Roman"/>
          <w:b w:val="0"/>
          <w:bCs w:val="0"/>
          <w:color w:val="auto"/>
          <w:szCs w:val="20"/>
        </w:rPr>
      </w:pPr>
      <w:r>
        <w:rPr>
          <w:rFonts w:eastAsia="Times New Roman" w:cs="Times New Roman"/>
          <w:b w:val="0"/>
          <w:bCs w:val="0"/>
          <w:color w:val="auto"/>
          <w:szCs w:val="20"/>
        </w:rPr>
        <w:t>Atbilstoši šā nolikuma pielikuma Nr.</w:t>
      </w:r>
      <w:r>
        <w:rPr>
          <w:rFonts w:hint="default" w:eastAsia="Times New Roman" w:cs="Times New Roman"/>
          <w:b w:val="0"/>
          <w:bCs w:val="0"/>
          <w:color w:val="auto"/>
          <w:szCs w:val="20"/>
        </w:rPr>
        <w:t>5.1 un Nr.5.2.</w:t>
      </w:r>
      <w:r>
        <w:rPr>
          <w:rFonts w:eastAsia="Times New Roman" w:cs="Times New Roman"/>
          <w:b w:val="0"/>
          <w:bCs w:val="0"/>
          <w:color w:val="auto"/>
          <w:szCs w:val="20"/>
        </w:rPr>
        <w:t xml:space="preserve"> formai pretendenta aizpildīts Tehniskais piedāvājums.</w:t>
      </w:r>
    </w:p>
    <w:p>
      <w:pPr>
        <w:numPr>
          <w:ilvl w:val="0"/>
          <w:numId w:val="16"/>
        </w:numPr>
        <w:suppressAutoHyphens/>
        <w:spacing w:after="0" w:line="240" w:lineRule="auto"/>
        <w:ind w:left="425" w:leftChars="0" w:hanging="425" w:firstLineChars="0"/>
        <w:contextualSpacing/>
        <w:jc w:val="both"/>
        <w:rPr>
          <w:rFonts w:eastAsia="Times New Roman" w:cs="Times New Roman"/>
          <w:b w:val="0"/>
          <w:bCs w:val="0"/>
          <w:color w:val="auto"/>
          <w:szCs w:val="24"/>
        </w:rPr>
      </w:pPr>
      <w:r>
        <w:rPr>
          <w:rFonts w:eastAsia="Times-Roman" w:cs="Times-Roman"/>
          <w:b w:val="0"/>
          <w:bCs w:val="0"/>
          <w:color w:val="auto"/>
        </w:rPr>
        <w:t xml:space="preserve">Finanšu piedāvājums jāsagatavo atbilstoši iepirkuma </w:t>
      </w:r>
      <w:r>
        <w:rPr>
          <w:rFonts w:hint="default" w:eastAsia="Times-Roman" w:cs="Times-Roman"/>
          <w:b w:val="0"/>
          <w:bCs w:val="0"/>
          <w:color w:val="auto"/>
        </w:rPr>
        <w:t xml:space="preserve">Nolikuma </w:t>
      </w:r>
      <w:r>
        <w:rPr>
          <w:rFonts w:eastAsia="Times-Roman" w:cs="Times-Roman"/>
          <w:b w:val="0"/>
          <w:bCs w:val="0"/>
          <w:color w:val="auto"/>
        </w:rPr>
        <w:t>pielikumā Nr.</w:t>
      </w:r>
      <w:r>
        <w:rPr>
          <w:rFonts w:hint="default" w:eastAsia="Times-Roman" w:cs="Times-Roman"/>
          <w:b w:val="0"/>
          <w:bCs w:val="0"/>
          <w:color w:val="auto"/>
        </w:rPr>
        <w:t>2</w:t>
      </w:r>
      <w:r>
        <w:rPr>
          <w:rFonts w:eastAsia="Times-Roman" w:cs="Times-Roman"/>
          <w:b w:val="0"/>
          <w:bCs w:val="0"/>
          <w:color w:val="auto"/>
        </w:rPr>
        <w:t xml:space="preserve"> norādītajai formai un finanšu piedāvājumā visas izmaksas jānorāda eiro (EUR) ar ne vairāk kā 2 (divām) zīmēm aiz komata. Kopējā cena jānorāda bez PVN, kopējo cenu ar PVN un PVN norādot atsevišķi</w:t>
      </w:r>
      <w:r>
        <w:rPr>
          <w:b w:val="0"/>
          <w:bCs w:val="0"/>
          <w:color w:val="auto"/>
        </w:rPr>
        <w:t>.</w:t>
      </w:r>
      <w:r>
        <w:rPr>
          <w:rFonts w:hint="default"/>
          <w:b w:val="0"/>
          <w:bCs w:val="0"/>
          <w:color w:val="auto"/>
        </w:rPr>
        <w:t xml:space="preserve"> </w:t>
      </w:r>
      <w:r>
        <w:rPr>
          <w:b w:val="0"/>
          <w:bCs w:val="0"/>
          <w:color w:val="auto"/>
        </w:rPr>
        <w:t>Papi</w:t>
      </w:r>
      <w:r>
        <w:rPr>
          <w:color w:val="auto"/>
        </w:rPr>
        <w:t>ldus izmaksas, kas nav iekļautas un norādītas finanšu piedāvājumā, netiks ņemtas vērā, noslēdzot iepirkuma līgumu. Pasūtītājam ir tiesības samazināt iepirkuma apjomu gadījumā, ja izrādās, ka tam ir nepietiekami finanšu līdzekļi.</w:t>
      </w:r>
    </w:p>
    <w:p>
      <w:pPr>
        <w:numPr>
          <w:ilvl w:val="0"/>
          <w:numId w:val="16"/>
        </w:numPr>
        <w:suppressAutoHyphens/>
        <w:spacing w:after="0" w:line="240" w:lineRule="auto"/>
        <w:ind w:left="425" w:leftChars="0" w:hanging="425" w:firstLineChars="0"/>
        <w:contextualSpacing/>
        <w:jc w:val="both"/>
        <w:rPr>
          <w:b w:val="0"/>
          <w:bCs w:val="0"/>
          <w:color w:val="auto"/>
        </w:rPr>
      </w:pPr>
      <w:r>
        <w:rPr>
          <w:rFonts w:eastAsia="Times New Roman" w:cs="Times New Roman"/>
          <w:color w:val="auto"/>
          <w:szCs w:val="24"/>
        </w:rPr>
        <w:t xml:space="preserve">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w:t>
      </w:r>
      <w:r>
        <w:rPr>
          <w:rFonts w:eastAsia="Times New Roman" w:cs="Times New Roman"/>
          <w:b w:val="0"/>
          <w:bCs w:val="0"/>
          <w:color w:val="auto"/>
          <w:szCs w:val="24"/>
        </w:rPr>
        <w:t>izmantot pasūtītāja mājaslapā publicēto aktualizēto iepirkuma nolikuma attiecīgo formu, ja tāda ir publicēta.</w:t>
      </w:r>
    </w:p>
    <w:p>
      <w:pPr>
        <w:numPr>
          <w:ilvl w:val="0"/>
          <w:numId w:val="16"/>
        </w:numPr>
        <w:suppressAutoHyphens/>
        <w:spacing w:after="0" w:line="240" w:lineRule="auto"/>
        <w:ind w:left="425" w:leftChars="0" w:hanging="425" w:firstLineChars="0"/>
        <w:contextualSpacing/>
        <w:jc w:val="both"/>
        <w:rPr>
          <w:b w:val="0"/>
          <w:bCs w:val="0"/>
          <w:color w:val="auto"/>
        </w:rPr>
      </w:pPr>
      <w:r>
        <w:rPr>
          <w:rFonts w:eastAsia="Times New Roman" w:cs="Times New Roman"/>
          <w:b w:val="0"/>
          <w:bCs w:val="0"/>
          <w:iCs/>
          <w:color w:val="auto"/>
          <w:szCs w:val="24"/>
        </w:rPr>
        <w:t xml:space="preserve">Pakalpojuma ietvaros paveiktajiem darbiem </w:t>
      </w:r>
      <w:r>
        <w:rPr>
          <w:rFonts w:hint="default" w:eastAsia="Times New Roman" w:cs="Times New Roman"/>
          <w:b w:val="0"/>
          <w:bCs w:val="0"/>
          <w:iCs/>
          <w:color w:val="auto"/>
          <w:szCs w:val="24"/>
        </w:rPr>
        <w:t>Pretendents</w:t>
      </w:r>
      <w:r>
        <w:rPr>
          <w:rFonts w:eastAsia="Times New Roman" w:cs="Times New Roman"/>
          <w:b w:val="0"/>
          <w:bCs w:val="0"/>
          <w:iCs/>
          <w:color w:val="auto"/>
          <w:szCs w:val="24"/>
        </w:rPr>
        <w:t xml:space="preserve"> dod </w:t>
      </w:r>
      <w:r>
        <w:rPr>
          <w:rFonts w:hint="default" w:eastAsia="Times New Roman" w:cs="Times New Roman"/>
          <w:b w:val="0"/>
          <w:bCs w:val="0"/>
          <w:iCs/>
          <w:color w:val="auto"/>
          <w:szCs w:val="24"/>
        </w:rPr>
        <w:t>60</w:t>
      </w:r>
      <w:r>
        <w:rPr>
          <w:rFonts w:eastAsia="Times New Roman" w:cs="Times New Roman"/>
          <w:b w:val="0"/>
          <w:bCs w:val="0"/>
          <w:iCs/>
          <w:color w:val="auto"/>
          <w:szCs w:val="24"/>
        </w:rPr>
        <w:t xml:space="preserve"> (</w:t>
      </w:r>
      <w:r>
        <w:rPr>
          <w:rFonts w:hint="default" w:eastAsia="Times New Roman" w:cs="Times New Roman"/>
          <w:b w:val="0"/>
          <w:bCs w:val="0"/>
          <w:iCs/>
          <w:color w:val="auto"/>
          <w:szCs w:val="24"/>
        </w:rPr>
        <w:t>sešdesmit</w:t>
      </w:r>
      <w:r>
        <w:rPr>
          <w:rFonts w:eastAsia="Times New Roman" w:cs="Times New Roman"/>
          <w:b w:val="0"/>
          <w:bCs w:val="0"/>
          <w:iCs/>
          <w:color w:val="auto"/>
          <w:szCs w:val="24"/>
        </w:rPr>
        <w:t>) mēnešu garantiju, skaitot no nodošanas – pieņemšanas akta parakstīšanas brīža</w:t>
      </w:r>
      <w:r>
        <w:rPr>
          <w:rFonts w:hint="default" w:eastAsia="Times New Roman" w:cs="Times New Roman"/>
          <w:b w:val="0"/>
          <w:bCs w:val="0"/>
          <w:iCs/>
          <w:color w:val="auto"/>
          <w:szCs w:val="24"/>
        </w:rPr>
        <w:t>.</w:t>
      </w:r>
    </w:p>
    <w:p>
      <w:pPr>
        <w:numPr>
          <w:ilvl w:val="0"/>
          <w:numId w:val="16"/>
        </w:numPr>
        <w:suppressAutoHyphens/>
        <w:spacing w:after="0" w:line="240" w:lineRule="auto"/>
        <w:ind w:left="425" w:leftChars="0" w:hanging="425" w:firstLineChars="0"/>
        <w:contextualSpacing/>
        <w:jc w:val="both"/>
        <w:rPr>
          <w:b w:val="0"/>
          <w:bCs w:val="0"/>
          <w:color w:val="auto"/>
        </w:rPr>
      </w:pPr>
      <w:r>
        <w:rPr>
          <w:b w:val="0"/>
          <w:bCs w:val="0"/>
          <w:color w:val="auto"/>
        </w:rPr>
        <w:t xml:space="preserve">Tehniskais piedāvājums jāsagatavo atbilstoši nolikuma noteiktajiem nosacījumiem. </w:t>
      </w:r>
    </w:p>
    <w:p>
      <w:pPr>
        <w:numPr>
          <w:ilvl w:val="0"/>
          <w:numId w:val="17"/>
        </w:numPr>
        <w:tabs>
          <w:tab w:val="clear" w:pos="425"/>
        </w:tabs>
        <w:suppressAutoHyphens/>
        <w:spacing w:after="0" w:line="240" w:lineRule="auto"/>
        <w:ind w:left="1425" w:leftChars="0" w:hanging="705" w:firstLineChars="0"/>
        <w:contextualSpacing/>
        <w:jc w:val="both"/>
        <w:rPr>
          <w:b w:val="0"/>
          <w:bCs w:val="0"/>
          <w:color w:val="auto"/>
        </w:rPr>
      </w:pPr>
      <w:r>
        <w:rPr>
          <w:b w:val="0"/>
          <w:bCs w:val="0"/>
          <w:color w:val="auto"/>
        </w:rPr>
        <w:t xml:space="preserve">Tehniskais piedāvājums jāsagatavo brīvā aprakstošā formā saskaņā ar Tehnisko specifikāciju. Tehniskajā piedāvājumā jāapraksta visas darbības kā tās tiks nodrošinātas (jāiekļauj visas tehniskās specifikācijas sadaļas) un vai vispār tiks nodrošinātas (no apraksta Komisijai jābūt pārliecinātai, ka visi nosacījumi tiks izdarīti un kā tiks izdarīti). </w:t>
      </w:r>
    </w:p>
    <w:p>
      <w:pPr>
        <w:numPr>
          <w:ilvl w:val="0"/>
          <w:numId w:val="17"/>
        </w:numPr>
        <w:tabs>
          <w:tab w:val="clear" w:pos="425"/>
        </w:tabs>
        <w:suppressAutoHyphens/>
        <w:spacing w:after="0" w:line="240" w:lineRule="auto"/>
        <w:ind w:left="1425" w:leftChars="0" w:hanging="705" w:firstLineChars="0"/>
        <w:contextualSpacing/>
        <w:jc w:val="both"/>
        <w:rPr>
          <w:rFonts w:ascii="Times New Roman" w:hAnsi="Times New Roman" w:cs="Times New Roman"/>
          <w:b w:val="0"/>
          <w:bCs w:val="0"/>
          <w:color w:val="auto"/>
          <w:sz w:val="24"/>
          <w:szCs w:val="24"/>
        </w:rPr>
      </w:pPr>
      <w:r>
        <w:rPr>
          <w:b w:val="0"/>
          <w:bCs w:val="0"/>
          <w:color w:val="auto"/>
        </w:rPr>
        <w:t>Jāiekļauj Darbu izpildes Laika grafiks, detalizācijas pakāpe – nedēļa, iekļaujot visus specifikācijā norādītos objektus. Mērījumi daudzdzīvokļu dzīvojamo māju pašvaldības dzīvojamās telpās</w:t>
      </w:r>
      <w:r>
        <w:rPr>
          <w:rFonts w:hint="default"/>
          <w:b w:val="0"/>
          <w:bCs w:val="0"/>
          <w:color w:val="auto"/>
        </w:rPr>
        <w:t xml:space="preserve"> jāveic </w:t>
      </w:r>
      <w:r>
        <w:rPr>
          <w:b w:val="0"/>
          <w:bCs w:val="0"/>
          <w:color w:val="auto"/>
        </w:rPr>
        <w:t>līdz 20</w:t>
      </w:r>
      <w:r>
        <w:rPr>
          <w:rFonts w:hint="default"/>
          <w:b w:val="0"/>
          <w:bCs w:val="0"/>
          <w:color w:val="auto"/>
        </w:rPr>
        <w:t>20</w:t>
      </w:r>
      <w:r>
        <w:rPr>
          <w:b w:val="0"/>
          <w:bCs w:val="0"/>
          <w:color w:val="auto"/>
        </w:rPr>
        <w:t>.gada 30.novembrim.</w:t>
      </w:r>
    </w:p>
    <w:p>
      <w:pPr>
        <w:numPr>
          <w:ilvl w:val="0"/>
          <w:numId w:val="17"/>
        </w:numPr>
        <w:tabs>
          <w:tab w:val="clear" w:pos="425"/>
        </w:tabs>
        <w:suppressAutoHyphens/>
        <w:spacing w:after="0" w:line="240" w:lineRule="auto"/>
        <w:ind w:left="1425" w:leftChars="0" w:hanging="705" w:firstLineChars="0"/>
        <w:contextualSpacing/>
        <w:jc w:val="both"/>
        <w:rPr>
          <w:rFonts w:eastAsia="Times New Roman" w:cs="Times New Roman"/>
          <w:color w:val="auto"/>
          <w:szCs w:val="24"/>
        </w:rPr>
      </w:pPr>
      <w:r>
        <w:rPr>
          <w:rFonts w:ascii="Times New Roman" w:hAnsi="Times New Roman" w:cs="Times New Roman"/>
          <w:b w:val="0"/>
          <w:bCs w:val="0"/>
          <w:color w:val="auto"/>
          <w:sz w:val="24"/>
          <w:szCs w:val="24"/>
        </w:rPr>
        <w:t>Jāiekļauj Apliecinājums, ka elektriskās vien</w:t>
      </w:r>
      <w:r>
        <w:rPr>
          <w:rFonts w:ascii="Times New Roman" w:hAnsi="Times New Roman" w:cs="Times New Roman"/>
          <w:color w:val="auto"/>
          <w:sz w:val="24"/>
          <w:szCs w:val="24"/>
        </w:rPr>
        <w:t>līniju shēmas tiks sastādītas tikai ar sertificēta elektroietaišu projektētāja palīdzību. Uzņēmumam jābūt visam izmantotam CAD datorprogrammatūras licencēm.</w:t>
      </w:r>
    </w:p>
    <w:p>
      <w:pPr>
        <w:suppressAutoHyphens/>
        <w:spacing w:after="0" w:line="240" w:lineRule="auto"/>
        <w:ind w:left="709"/>
        <w:contextualSpacing/>
        <w:jc w:val="both"/>
        <w:rPr>
          <w:rFonts w:eastAsia="Times New Roman" w:cs="Times New Roman"/>
          <w:color w:val="FF0000"/>
          <w:szCs w:val="24"/>
        </w:rPr>
      </w:pPr>
    </w:p>
    <w:p>
      <w:pPr>
        <w:pStyle w:val="8"/>
        <w:numPr>
          <w:numId w:val="0"/>
        </w:numPr>
        <w:spacing w:before="120" w:after="120"/>
        <w:ind w:left="357" w:leftChars="0"/>
        <w:jc w:val="center"/>
        <w:rPr>
          <w:rFonts w:eastAsia="Times New Roman" w:cs="Times New Roman"/>
          <w:b/>
          <w:bCs/>
          <w:color w:val="auto"/>
          <w:szCs w:val="20"/>
        </w:rPr>
      </w:pPr>
      <w:bookmarkStart w:id="32" w:name="_Toc324317558"/>
      <w:r>
        <w:rPr>
          <w:rFonts w:hint="default"/>
          <w:b/>
          <w:color w:val="auto"/>
          <w:sz w:val="24"/>
          <w:szCs w:val="24"/>
        </w:rPr>
        <w:t xml:space="preserve">6. </w:t>
      </w:r>
      <w:r>
        <w:rPr>
          <w:b/>
          <w:color w:val="auto"/>
          <w:sz w:val="24"/>
          <w:szCs w:val="24"/>
        </w:rPr>
        <w:t>Piedāvājumu vērtēšanas kārtība un piedāvājuma izvēles kritērijs</w:t>
      </w:r>
    </w:p>
    <w:p>
      <w:pPr>
        <w:pStyle w:val="8"/>
        <w:numPr>
          <w:ilvl w:val="0"/>
          <w:numId w:val="18"/>
        </w:numPr>
        <w:tabs>
          <w:tab w:val="left" w:pos="240"/>
          <w:tab w:val="left" w:pos="851"/>
        </w:tabs>
        <w:ind w:left="424" w:leftChars="0" w:hanging="424" w:hangingChars="177"/>
        <w:jc w:val="both"/>
        <w:rPr>
          <w:b w:val="0"/>
          <w:bCs w:val="0"/>
          <w:color w:val="auto"/>
          <w:sz w:val="24"/>
          <w:szCs w:val="24"/>
        </w:rPr>
      </w:pPr>
      <w:r>
        <w:rPr>
          <w:rFonts w:hint="default" w:eastAsia="Times New Roman" w:cs="Times New Roman"/>
          <w:color w:val="auto"/>
          <w:szCs w:val="20"/>
        </w:rPr>
        <w:t>P</w:t>
      </w:r>
      <w:r>
        <w:rPr>
          <w:rFonts w:eastAsia="Times New Roman" w:cs="Times New Roman"/>
          <w:color w:val="auto"/>
          <w:szCs w:val="20"/>
        </w:rPr>
        <w:t xml:space="preserve">iedāvājumi tiks atvērti SIA „DOBELES NAMSAIMNIEKS” juridiskajā adresē: Zaļā iela 3, Dobele, Dobeles novads,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.gada 2</w:t>
      </w:r>
      <w:r>
        <w:rPr>
          <w:rFonts w:hint="default" w:eastAsia="Times New Roman" w:cs="Times New Roman"/>
          <w:b/>
          <w:color w:val="auto"/>
          <w:szCs w:val="20"/>
        </w:rPr>
        <w:t>5</w:t>
      </w:r>
      <w:r>
        <w:rPr>
          <w:rFonts w:eastAsia="Times New Roman" w:cs="Times New Roman"/>
          <w:b/>
          <w:color w:val="auto"/>
          <w:sz w:val="22"/>
        </w:rPr>
        <w:t>.</w:t>
      </w:r>
      <w:r>
        <w:rPr>
          <w:rFonts w:hint="default" w:eastAsia="Times New Roman" w:cs="Times New Roman"/>
          <w:b/>
          <w:color w:val="auto"/>
          <w:sz w:val="22"/>
        </w:rPr>
        <w:t xml:space="preserve">martā </w:t>
      </w:r>
      <w:r>
        <w:rPr>
          <w:rFonts w:eastAsia="Times New Roman" w:cs="Times New Roman"/>
          <w:b/>
          <w:color w:val="auto"/>
          <w:szCs w:val="20"/>
        </w:rPr>
        <w:t xml:space="preserve">plkst. </w:t>
      </w:r>
      <w:r>
        <w:rPr>
          <w:rFonts w:hint="default" w:eastAsia="Times New Roman" w:cs="Times New Roman"/>
          <w:b/>
          <w:color w:val="auto"/>
          <w:szCs w:val="20"/>
        </w:rPr>
        <w:t xml:space="preserve">14:15, </w:t>
      </w:r>
      <w:r>
        <w:rPr>
          <w:rFonts w:hint="default" w:eastAsia="Times New Roman" w:cs="Times New Roman"/>
          <w:b w:val="0"/>
          <w:bCs/>
          <w:color w:val="auto"/>
          <w:szCs w:val="20"/>
        </w:rPr>
        <w:t>slēgtā komisijas sēdē</w:t>
      </w:r>
      <w:r>
        <w:rPr>
          <w:rFonts w:eastAsia="Times New Roman" w:cs="Times New Roman"/>
          <w:b w:val="0"/>
          <w:bCs/>
          <w:color w:val="auto"/>
          <w:szCs w:val="20"/>
        </w:rPr>
        <w:t>.</w:t>
      </w:r>
    </w:p>
    <w:p>
      <w:pPr>
        <w:pStyle w:val="8"/>
        <w:numPr>
          <w:ilvl w:val="0"/>
          <w:numId w:val="18"/>
        </w:numPr>
        <w:tabs>
          <w:tab w:val="left" w:pos="240"/>
          <w:tab w:val="left" w:pos="851"/>
        </w:tabs>
        <w:ind w:left="424" w:leftChars="0" w:hanging="424" w:hangingChars="177"/>
        <w:jc w:val="both"/>
        <w:rPr>
          <w:b w:val="0"/>
          <w:bCs w:val="0"/>
          <w:color w:val="auto"/>
          <w:sz w:val="24"/>
          <w:szCs w:val="24"/>
        </w:rPr>
      </w:pPr>
      <w:r>
        <w:rPr>
          <w:b w:val="0"/>
          <w:bCs w:val="0"/>
          <w:color w:val="auto"/>
          <w:sz w:val="24"/>
          <w:szCs w:val="24"/>
        </w:rPr>
        <w:t>Pretendentu atlasi un finanšu piedāvājumu atbilstības pārbaudi un piedāvājumu vērtēšanu komisija veic slēgtā sanāksmē.</w:t>
      </w:r>
    </w:p>
    <w:p>
      <w:pPr>
        <w:pStyle w:val="8"/>
        <w:numPr>
          <w:ilvl w:val="0"/>
          <w:numId w:val="18"/>
        </w:numPr>
        <w:tabs>
          <w:tab w:val="left" w:pos="851"/>
        </w:tabs>
        <w:ind w:left="424" w:leftChars="0" w:hanging="424" w:hangingChars="177"/>
        <w:jc w:val="both"/>
        <w:rPr>
          <w:b w:val="0"/>
          <w:bCs w:val="0"/>
          <w:color w:val="auto"/>
          <w:sz w:val="24"/>
          <w:szCs w:val="24"/>
        </w:rPr>
      </w:pPr>
      <w:r>
        <w:rPr>
          <w:b w:val="0"/>
          <w:bCs w:val="0"/>
          <w:color w:val="auto"/>
          <w:sz w:val="24"/>
          <w:szCs w:val="24"/>
        </w:rPr>
        <w:t>Komisija vērtē tikai tos pretendentu piedāvājumus, kuri iesniegti un noformēti atbilstoši šī nolikuma prasībām.</w:t>
      </w:r>
    </w:p>
    <w:p>
      <w:pPr>
        <w:pStyle w:val="8"/>
        <w:numPr>
          <w:ilvl w:val="0"/>
          <w:numId w:val="18"/>
        </w:numPr>
        <w:tabs>
          <w:tab w:val="left" w:pos="851"/>
        </w:tabs>
        <w:ind w:left="424" w:leftChars="0" w:hanging="424" w:hangingChars="177"/>
        <w:jc w:val="both"/>
        <w:rPr>
          <w:b w:val="0"/>
          <w:bCs w:val="0"/>
          <w:color w:val="auto"/>
          <w:sz w:val="24"/>
          <w:szCs w:val="24"/>
        </w:rPr>
      </w:pPr>
      <w:r>
        <w:rPr>
          <w:b w:val="0"/>
          <w:bCs w:val="0"/>
          <w:color w:val="auto"/>
          <w:sz w:val="24"/>
          <w:szCs w:val="24"/>
        </w:rPr>
        <w:t>Piedāvājuma vērtēšanas kārtība</w:t>
      </w:r>
      <w:r>
        <w:rPr>
          <w:rFonts w:hint="default"/>
          <w:b w:val="0"/>
          <w:bCs w:val="0"/>
          <w:color w:val="auto"/>
          <w:sz w:val="24"/>
          <w:szCs w:val="24"/>
        </w:rPr>
        <w:t>:</w:t>
      </w:r>
    </w:p>
    <w:p>
      <w:pPr>
        <w:pStyle w:val="8"/>
        <w:numPr>
          <w:ilvl w:val="0"/>
          <w:numId w:val="19"/>
        </w:numPr>
        <w:tabs>
          <w:tab w:val="clear" w:pos="425"/>
        </w:tabs>
        <w:ind w:left="718" w:leftChars="298" w:hanging="3" w:firstLineChars="0"/>
        <w:jc w:val="both"/>
        <w:rPr>
          <w:b w:val="0"/>
          <w:bCs w:val="0"/>
          <w:color w:val="auto"/>
          <w:sz w:val="24"/>
          <w:szCs w:val="24"/>
        </w:rPr>
      </w:pPr>
      <w:r>
        <w:rPr>
          <w:b w:val="0"/>
          <w:bCs w:val="0"/>
          <w:color w:val="auto"/>
          <w:sz w:val="24"/>
          <w:szCs w:val="24"/>
        </w:rPr>
        <w:t>Piedāvājuma noformējuma pārbaude - piedāvājuma noformējuma pārbaudes laikā komisija izvērtē, vai piedāvājums sagatavots un noformēts atbilstoši nolikumā norādītajām prasībām. Komisija noraida piedāvājumu, ja tiek konstatēta noformējuma būtiska neatbilstība nolikumā norādītajām prasībām.</w:t>
      </w:r>
    </w:p>
    <w:p>
      <w:pPr>
        <w:pStyle w:val="8"/>
        <w:numPr>
          <w:ilvl w:val="0"/>
          <w:numId w:val="19"/>
        </w:numPr>
        <w:tabs>
          <w:tab w:val="clear" w:pos="425"/>
        </w:tabs>
        <w:ind w:left="718" w:leftChars="298" w:hanging="3" w:firstLineChars="0"/>
        <w:jc w:val="both"/>
        <w:rPr>
          <w:color w:val="auto"/>
          <w:sz w:val="24"/>
          <w:szCs w:val="24"/>
        </w:rPr>
      </w:pPr>
      <w:r>
        <w:rPr>
          <w:b w:val="0"/>
          <w:bCs w:val="0"/>
          <w:color w:val="auto"/>
          <w:sz w:val="24"/>
          <w:szCs w:val="24"/>
        </w:rPr>
        <w:t>Pretendentu atlase - pēc piedāvājumu noformējuma un piedāvājuma  pārbaudes komisija veic pretendentu atlasi u</w:t>
      </w:r>
      <w:r>
        <w:rPr>
          <w:rFonts w:hint="default"/>
          <w:b w:val="0"/>
          <w:bCs w:val="0"/>
          <w:color w:val="auto"/>
          <w:sz w:val="24"/>
          <w:szCs w:val="24"/>
        </w:rPr>
        <w:t>n</w:t>
      </w:r>
      <w:r>
        <w:rPr>
          <w:b w:val="0"/>
          <w:bCs w:val="0"/>
          <w:color w:val="auto"/>
          <w:sz w:val="24"/>
          <w:szCs w:val="24"/>
        </w:rPr>
        <w:t xml:space="preserve"> atlases prasību pārbaudi veikt tikai tam pretendentam, kuram būtu piešķirama</w:t>
      </w:r>
      <w:r>
        <w:rPr>
          <w:color w:val="auto"/>
          <w:sz w:val="24"/>
          <w:szCs w:val="24"/>
        </w:rPr>
        <w:t>s iepirkuma līguma slēgšanas tiesības):</w:t>
      </w:r>
    </w:p>
    <w:p>
      <w:pPr>
        <w:pStyle w:val="8"/>
        <w:numPr>
          <w:ilvl w:val="0"/>
          <w:numId w:val="20"/>
        </w:numPr>
        <w:tabs>
          <w:tab w:val="clear" w:pos="425"/>
        </w:tabs>
        <w:ind w:left="955" w:leftChars="398" w:firstLine="0" w:firstLineChars="0"/>
        <w:jc w:val="both"/>
        <w:rPr>
          <w:color w:val="auto"/>
          <w:sz w:val="24"/>
          <w:szCs w:val="24"/>
        </w:rPr>
      </w:pPr>
      <w:r>
        <w:rPr>
          <w:color w:val="auto"/>
          <w:sz w:val="24"/>
          <w:szCs w:val="24"/>
        </w:rPr>
        <w:t xml:space="preserve">pretendentu atlase notiek saskaņā ar </w:t>
      </w:r>
      <w:r>
        <w:rPr>
          <w:rFonts w:hint="default"/>
          <w:color w:val="auto"/>
          <w:sz w:val="24"/>
          <w:szCs w:val="24"/>
        </w:rPr>
        <w:t xml:space="preserve">5.punktā </w:t>
      </w:r>
      <w:r>
        <w:rPr>
          <w:color w:val="auto"/>
          <w:sz w:val="24"/>
          <w:szCs w:val="24"/>
        </w:rPr>
        <w:t>minētajām prasībām un dokumentiem;</w:t>
      </w:r>
    </w:p>
    <w:p>
      <w:pPr>
        <w:pStyle w:val="8"/>
        <w:numPr>
          <w:ilvl w:val="0"/>
          <w:numId w:val="20"/>
        </w:numPr>
        <w:tabs>
          <w:tab w:val="clear" w:pos="425"/>
        </w:tabs>
        <w:ind w:left="955" w:leftChars="398" w:firstLine="0" w:firstLineChars="0"/>
        <w:jc w:val="both"/>
        <w:rPr>
          <w:b w:val="0"/>
          <w:bCs w:val="0"/>
          <w:color w:val="auto"/>
          <w:sz w:val="24"/>
          <w:szCs w:val="24"/>
        </w:rPr>
      </w:pPr>
      <w:r>
        <w:rPr>
          <w:color w:val="auto"/>
          <w:sz w:val="24"/>
          <w:szCs w:val="24"/>
        </w:rPr>
        <w:t xml:space="preserve">ja pretendents neatbilst kādai no konkursa nolikumā </w:t>
      </w:r>
      <w:r>
        <w:rPr>
          <w:b w:val="0"/>
          <w:bCs w:val="0"/>
          <w:color w:val="auto"/>
          <w:sz w:val="24"/>
          <w:szCs w:val="24"/>
        </w:rPr>
        <w:t>izvirzītajām prasībām, komisija izslēdz pretendentu no turpmākās dalības iepirkuma procedūrā.</w:t>
      </w:r>
    </w:p>
    <w:p>
      <w:pPr>
        <w:pStyle w:val="8"/>
        <w:numPr>
          <w:ilvl w:val="0"/>
          <w:numId w:val="21"/>
        </w:numPr>
        <w:ind w:left="424" w:leftChars="0" w:hanging="424" w:hangingChars="177"/>
        <w:jc w:val="both"/>
        <w:rPr>
          <w:color w:val="auto"/>
          <w:sz w:val="24"/>
          <w:szCs w:val="24"/>
        </w:rPr>
      </w:pPr>
      <w:r>
        <w:rPr>
          <w:b w:val="0"/>
          <w:bCs w:val="0"/>
          <w:color w:val="auto"/>
          <w:sz w:val="24"/>
          <w:szCs w:val="24"/>
        </w:rPr>
        <w:t xml:space="preserve">Finanšu piedāvājuma vērtēšana - </w:t>
      </w:r>
      <w:r>
        <w:rPr>
          <w:color w:val="auto"/>
          <w:sz w:val="24"/>
          <w:szCs w:val="24"/>
        </w:rPr>
        <w:t>pēc pretendentu atlases komisija veic finanšu piedāvājumu atbilstības pārbaudi nolikuma prasībām:</w:t>
      </w:r>
    </w:p>
    <w:p>
      <w:pPr>
        <w:pStyle w:val="8"/>
        <w:numPr>
          <w:ilvl w:val="0"/>
          <w:numId w:val="22"/>
        </w:numPr>
        <w:tabs>
          <w:tab w:val="clear" w:pos="425"/>
        </w:tabs>
        <w:ind w:left="705" w:leftChars="0" w:firstLine="15" w:firstLineChars="0"/>
        <w:jc w:val="both"/>
        <w:rPr>
          <w:color w:val="auto"/>
          <w:sz w:val="24"/>
          <w:szCs w:val="24"/>
        </w:rPr>
      </w:pPr>
      <w:r>
        <w:rPr>
          <w:color w:val="auto"/>
          <w:sz w:val="24"/>
          <w:szCs w:val="24"/>
        </w:rPr>
        <w:t xml:space="preserve">finanšu piedāvājuma atbilstības pārbaude notiek saskaņā ar nolikuma </w:t>
      </w:r>
      <w:r>
        <w:rPr>
          <w:rFonts w:hint="default"/>
          <w:color w:val="auto"/>
          <w:sz w:val="24"/>
          <w:szCs w:val="24"/>
        </w:rPr>
        <w:t>5.5.</w:t>
      </w:r>
      <w:r>
        <w:rPr>
          <w:color w:val="auto"/>
          <w:sz w:val="24"/>
          <w:szCs w:val="24"/>
        </w:rPr>
        <w:t>apakšpunka prasībām;</w:t>
      </w:r>
    </w:p>
    <w:p>
      <w:pPr>
        <w:pStyle w:val="8"/>
        <w:numPr>
          <w:ilvl w:val="0"/>
          <w:numId w:val="22"/>
        </w:numPr>
        <w:tabs>
          <w:tab w:val="clear" w:pos="425"/>
        </w:tabs>
        <w:ind w:left="705" w:leftChars="0" w:firstLine="15" w:firstLineChars="0"/>
        <w:jc w:val="both"/>
        <w:rPr>
          <w:color w:val="auto"/>
          <w:sz w:val="24"/>
          <w:szCs w:val="24"/>
        </w:rPr>
      </w:pPr>
      <w:r>
        <w:rPr>
          <w:color w:val="auto"/>
          <w:sz w:val="24"/>
          <w:szCs w:val="24"/>
        </w:rPr>
        <w:t>ja komisija finanšu piedāvājumā konstatē aritmētiskas kļūdas, tā šīs kļūdas izlabo. Par visiem aritmētisko kļūdu labojumiem paziņo pretendentam, kura piedāvājumā labojumi izdarīti. Vērtējot piedāvājumus, kuros bijušas aritmētiskās kļūdas, komisija ņem vērā tikai iepriekš noteiktajā kārtībā labotās cenas;</w:t>
      </w:r>
    </w:p>
    <w:p>
      <w:pPr>
        <w:pStyle w:val="8"/>
        <w:numPr>
          <w:ilvl w:val="0"/>
          <w:numId w:val="22"/>
        </w:numPr>
        <w:tabs>
          <w:tab w:val="clear" w:pos="425"/>
        </w:tabs>
        <w:ind w:left="705" w:leftChars="0" w:firstLine="15" w:firstLineChars="0"/>
        <w:jc w:val="both"/>
        <w:rPr>
          <w:color w:val="auto"/>
          <w:sz w:val="24"/>
          <w:szCs w:val="24"/>
        </w:rPr>
      </w:pPr>
      <w:r>
        <w:rPr>
          <w:color w:val="auto"/>
          <w:sz w:val="24"/>
          <w:szCs w:val="24"/>
        </w:rPr>
        <w:t>finanšu piedāvājuma vērtēšanas stadijā komisija izvērtē, vai pretendenta piedāvājums nav nepamatoti lēts;</w:t>
      </w:r>
    </w:p>
    <w:p>
      <w:pPr>
        <w:pStyle w:val="8"/>
        <w:numPr>
          <w:ilvl w:val="0"/>
          <w:numId w:val="22"/>
        </w:numPr>
        <w:tabs>
          <w:tab w:val="clear" w:pos="425"/>
        </w:tabs>
        <w:ind w:left="705" w:leftChars="0" w:firstLine="15" w:firstLineChars="0"/>
        <w:jc w:val="both"/>
        <w:rPr>
          <w:b w:val="0"/>
          <w:bCs w:val="0"/>
          <w:color w:val="auto"/>
          <w:sz w:val="24"/>
          <w:szCs w:val="24"/>
        </w:rPr>
      </w:pPr>
      <w:r>
        <w:rPr>
          <w:color w:val="auto"/>
          <w:sz w:val="24"/>
          <w:szCs w:val="24"/>
        </w:rPr>
        <w:t xml:space="preserve">ja komisija konstatē, ka pretendenta finanšu piedāvājums ir nepamatoti lēts, tad komisija rīkojas saskaņā ar PIL 53.pantā minētajiem nosacījumiem un pieprasa detalizētu skaidrojumu par piedāvāto cenu vai izmaksām, kā arī komisijai ir tiesības pieprasīt pretendentam iesniegt izdruku no Valsts ieņēmumu dienesta elektroniskās deklarēšanas sistēmas par pretendenta un tā piedāvājumā norādīto apakšuzņēmēju </w:t>
      </w:r>
      <w:r>
        <w:rPr>
          <w:b w:val="0"/>
          <w:bCs w:val="0"/>
          <w:color w:val="auto"/>
          <w:sz w:val="24"/>
          <w:szCs w:val="24"/>
        </w:rPr>
        <w:t>darbinieku vidējām stundas tarifa likmēm profesiju grupās, ja šādus datus apkopo Valsts ieņēmumu dienests.</w:t>
      </w:r>
    </w:p>
    <w:p>
      <w:pPr>
        <w:pStyle w:val="8"/>
        <w:numPr>
          <w:ilvl w:val="0"/>
          <w:numId w:val="23"/>
        </w:numPr>
        <w:ind w:left="425" w:leftChars="0" w:hanging="425" w:firstLineChars="0"/>
        <w:jc w:val="both"/>
        <w:rPr>
          <w:color w:val="auto"/>
          <w:sz w:val="24"/>
          <w:szCs w:val="24"/>
        </w:rPr>
      </w:pPr>
      <w:r>
        <w:rPr>
          <w:b w:val="0"/>
          <w:bCs w:val="0"/>
          <w:color w:val="auto"/>
          <w:sz w:val="24"/>
          <w:szCs w:val="24"/>
        </w:rPr>
        <w:t>Tehniskā piedāvājuma vērtēšana- p</w:t>
      </w:r>
      <w:r>
        <w:rPr>
          <w:color w:val="auto"/>
          <w:sz w:val="24"/>
          <w:szCs w:val="24"/>
        </w:rPr>
        <w:t>ēc pretendentu atlases komisija veic tehniskā piedāvājumu atbilstības pārbaudi nolikuma prasībām.Tehniskā piedāvājuma atbilstības pārbaude notiek saskaņā ar nolikuma</w:t>
      </w:r>
      <w:r>
        <w:rPr>
          <w:rFonts w:hint="default"/>
          <w:color w:val="auto"/>
          <w:sz w:val="24"/>
          <w:szCs w:val="24"/>
        </w:rPr>
        <w:t xml:space="preserve"> 5.8.</w:t>
      </w:r>
      <w:r>
        <w:rPr>
          <w:color w:val="auto"/>
          <w:sz w:val="24"/>
          <w:szCs w:val="24"/>
        </w:rPr>
        <w:t>akšpunkta prasībām;</w:t>
      </w:r>
    </w:p>
    <w:p>
      <w:pPr>
        <w:pStyle w:val="8"/>
        <w:numPr>
          <w:ilvl w:val="0"/>
          <w:numId w:val="23"/>
        </w:numPr>
        <w:ind w:left="425" w:leftChars="0" w:hanging="425" w:firstLineChars="0"/>
        <w:jc w:val="both"/>
        <w:rPr>
          <w:color w:val="auto"/>
          <w:sz w:val="24"/>
          <w:szCs w:val="24"/>
        </w:rPr>
      </w:pPr>
      <w:r>
        <w:rPr>
          <w:color w:val="auto"/>
          <w:sz w:val="24"/>
          <w:szCs w:val="24"/>
        </w:rPr>
        <w:t xml:space="preserve">Pirms lēmuma par līguma slēgšanas tiesību piešķiršanu, komisija pārbauda, vai attiecībā uz pretendentu, kuram atbilstoši citām paziņojumā par līgumu un iepirkuma procedūras dokumentos noteiktajām prasībām un izraudzītajam piedāvājuma izvēles kritērijam būtu piešķiramas līguma slēgšanas tiesības, nav attiecināmi PIL 42.panta pirmās daļas izslēgšanas nosacījumi. Komisija minēto izslēgšanas nosacījumu pārbaudi veic PIL 42.pantā noteiktajā kārtībā un termiņos. </w:t>
      </w:r>
    </w:p>
    <w:p>
      <w:pPr>
        <w:pStyle w:val="8"/>
        <w:numPr>
          <w:ilvl w:val="0"/>
          <w:numId w:val="23"/>
        </w:numPr>
        <w:ind w:left="425" w:leftChars="0" w:hanging="425" w:firstLineChars="0"/>
        <w:jc w:val="both"/>
        <w:rPr>
          <w:b w:val="0"/>
          <w:bCs w:val="0"/>
          <w:color w:val="auto"/>
          <w:sz w:val="24"/>
          <w:szCs w:val="24"/>
          <w:lang w:eastAsia="ar-SA"/>
        </w:rPr>
      </w:pPr>
      <w:r>
        <w:rPr>
          <w:color w:val="auto"/>
          <w:sz w:val="24"/>
          <w:szCs w:val="24"/>
        </w:rPr>
        <w:t xml:space="preserve">Ja nepieciešams, komisija uzticamības nodrošināšanai iesniegto pierādījumu vērtēšanu </w:t>
      </w:r>
      <w:r>
        <w:rPr>
          <w:b w:val="0"/>
          <w:bCs w:val="0"/>
          <w:color w:val="auto"/>
          <w:sz w:val="24"/>
          <w:szCs w:val="24"/>
        </w:rPr>
        <w:t>veic saskaņā ar PIL 43.panta nosacījumiem.</w:t>
      </w:r>
    </w:p>
    <w:p>
      <w:pPr>
        <w:pStyle w:val="8"/>
        <w:numPr>
          <w:ilvl w:val="0"/>
          <w:numId w:val="23"/>
        </w:numPr>
        <w:ind w:left="425" w:leftChars="0" w:hanging="425" w:firstLineChars="0"/>
        <w:jc w:val="both"/>
        <w:rPr>
          <w:color w:val="auto"/>
          <w:sz w:val="24"/>
          <w:szCs w:val="24"/>
        </w:rPr>
      </w:pPr>
      <w:r>
        <w:rPr>
          <w:b w:val="0"/>
          <w:bCs w:val="0"/>
          <w:color w:val="auto"/>
          <w:sz w:val="24"/>
          <w:szCs w:val="24"/>
        </w:rPr>
        <w:t xml:space="preserve">Piedāvājuma izvēles kritērijs </w:t>
      </w:r>
      <w:r>
        <w:rPr>
          <w:color w:val="auto"/>
          <w:sz w:val="24"/>
          <w:szCs w:val="24"/>
        </w:rPr>
        <w:t xml:space="preserve">– </w:t>
      </w:r>
      <w:r>
        <w:rPr>
          <w:bCs/>
          <w:color w:val="auto"/>
          <w:sz w:val="24"/>
          <w:szCs w:val="24"/>
        </w:rPr>
        <w:t xml:space="preserve">Zemākā cena. Tiks atzīts piedāvājums </w:t>
      </w:r>
      <w:r>
        <w:rPr>
          <w:b/>
          <w:bCs/>
          <w:color w:val="auto"/>
          <w:sz w:val="24"/>
          <w:szCs w:val="24"/>
        </w:rPr>
        <w:t>ar viszemāko cenu (EUR bez PVN)</w:t>
      </w:r>
      <w:r>
        <w:rPr>
          <w:color w:val="auto"/>
          <w:sz w:val="24"/>
          <w:szCs w:val="24"/>
        </w:rPr>
        <w:t>, no piedāvājumiem, kas atbilst nolikumā noteiktajām prasībām.</w:t>
      </w:r>
    </w:p>
    <w:p>
      <w:pPr>
        <w:pStyle w:val="8"/>
        <w:numPr>
          <w:ilvl w:val="0"/>
          <w:numId w:val="23"/>
        </w:numPr>
        <w:ind w:left="425" w:leftChars="0" w:hanging="425" w:firstLineChars="0"/>
        <w:jc w:val="both"/>
        <w:rPr>
          <w:color w:val="auto"/>
          <w:sz w:val="24"/>
          <w:szCs w:val="24"/>
        </w:rPr>
      </w:pPr>
      <w:r>
        <w:rPr>
          <w:color w:val="auto"/>
          <w:sz w:val="24"/>
          <w:szCs w:val="24"/>
        </w:rPr>
        <w:t>Ja vairākiem pretendentiem ir norādīta vienāda “Piedāvātā cena kopā EUR bez PVN”, tad komisija rīko izlozi, pieaicinot pretendentus, kuru iesniegtajos piedāvājumos ir norādīta vienāda cena. Ja pretendents neierodas uz izlozi, tad komisija veic izlozi bez pretendenta klātbūtnes.</w:t>
      </w:r>
    </w:p>
    <w:p>
      <w:pPr>
        <w:pStyle w:val="8"/>
        <w:tabs>
          <w:tab w:val="left" w:pos="851"/>
        </w:tabs>
        <w:spacing w:before="120" w:after="120"/>
        <w:ind w:left="425"/>
        <w:jc w:val="both"/>
        <w:rPr>
          <w:color w:val="FF0000"/>
          <w:sz w:val="24"/>
          <w:szCs w:val="24"/>
        </w:rPr>
      </w:pPr>
    </w:p>
    <w:p>
      <w:pPr>
        <w:pStyle w:val="8"/>
        <w:numPr>
          <w:numId w:val="0"/>
        </w:numPr>
        <w:spacing w:before="120" w:after="120"/>
        <w:ind w:leftChars="0"/>
        <w:jc w:val="center"/>
        <w:rPr>
          <w:b/>
          <w:color w:val="auto"/>
          <w:sz w:val="24"/>
          <w:szCs w:val="24"/>
        </w:rPr>
      </w:pPr>
      <w:r>
        <w:rPr>
          <w:rFonts w:hint="default"/>
          <w:b/>
          <w:color w:val="auto"/>
          <w:sz w:val="24"/>
          <w:szCs w:val="24"/>
        </w:rPr>
        <w:t xml:space="preserve">7. </w:t>
      </w:r>
      <w:r>
        <w:rPr>
          <w:b/>
          <w:color w:val="auto"/>
          <w:sz w:val="24"/>
          <w:szCs w:val="24"/>
        </w:rPr>
        <w:t>Komisijas darbība, tiesības un pienākumi</w:t>
      </w:r>
    </w:p>
    <w:p>
      <w:pPr>
        <w:pStyle w:val="8"/>
        <w:numPr>
          <w:ilvl w:val="0"/>
          <w:numId w:val="24"/>
        </w:numPr>
        <w:tabs>
          <w:tab w:val="left" w:pos="720"/>
          <w:tab w:val="left" w:pos="851"/>
        </w:tabs>
        <w:ind w:left="425" w:leftChars="0" w:hanging="425" w:firstLineChars="0"/>
        <w:jc w:val="both"/>
        <w:rPr>
          <w:color w:val="auto"/>
          <w:sz w:val="24"/>
          <w:szCs w:val="24"/>
        </w:rPr>
      </w:pPr>
      <w:r>
        <w:rPr>
          <w:color w:val="auto"/>
          <w:sz w:val="24"/>
          <w:szCs w:val="24"/>
        </w:rPr>
        <w:t>Komisija rīkojas saskaņā ar PIL un citiem normatīvajiem aktiem. Komisija atbild par PIL, kā arī citu normatīvo aktu un pasūtītāja interešu ievērošanu.</w:t>
      </w:r>
    </w:p>
    <w:p>
      <w:pPr>
        <w:pStyle w:val="8"/>
        <w:numPr>
          <w:ilvl w:val="0"/>
          <w:numId w:val="24"/>
        </w:numPr>
        <w:tabs>
          <w:tab w:val="left" w:pos="426"/>
          <w:tab w:val="left" w:pos="851"/>
        </w:tabs>
        <w:ind w:left="425" w:leftChars="0" w:hanging="425" w:firstLineChars="0"/>
        <w:jc w:val="both"/>
        <w:rPr>
          <w:color w:val="auto"/>
          <w:sz w:val="24"/>
          <w:szCs w:val="24"/>
        </w:rPr>
      </w:pPr>
      <w:r>
        <w:rPr>
          <w:color w:val="auto"/>
          <w:sz w:val="24"/>
          <w:szCs w:val="24"/>
        </w:rPr>
        <w:t>Komisija risina visus ar konkursa norisi un organizēšanu saistītos jautājumus.</w:t>
      </w:r>
    </w:p>
    <w:p>
      <w:pPr>
        <w:pStyle w:val="8"/>
        <w:numPr>
          <w:ilvl w:val="0"/>
          <w:numId w:val="24"/>
        </w:numPr>
        <w:tabs>
          <w:tab w:val="left" w:pos="851"/>
        </w:tabs>
        <w:ind w:left="425" w:leftChars="0" w:hanging="425" w:firstLineChars="0"/>
        <w:jc w:val="both"/>
        <w:rPr>
          <w:color w:val="auto"/>
          <w:sz w:val="24"/>
          <w:szCs w:val="24"/>
        </w:rPr>
      </w:pPr>
      <w:r>
        <w:rPr>
          <w:color w:val="auto"/>
          <w:sz w:val="24"/>
          <w:szCs w:val="24"/>
        </w:rPr>
        <w:t>Komisijai ir tiesības pieprasīt, lai pretendents precizētu informāciju par savu piedāvājumu, ja tas nepieciešams pretendentu atlasei un piedāvājumu atbilstības pārbaudei.</w:t>
      </w:r>
    </w:p>
    <w:p>
      <w:pPr>
        <w:pStyle w:val="8"/>
        <w:numPr>
          <w:ilvl w:val="0"/>
          <w:numId w:val="24"/>
        </w:numPr>
        <w:tabs>
          <w:tab w:val="left" w:pos="851"/>
        </w:tabs>
        <w:ind w:left="425" w:leftChars="0" w:hanging="425" w:firstLineChars="0"/>
        <w:jc w:val="both"/>
        <w:rPr>
          <w:color w:val="auto"/>
          <w:sz w:val="24"/>
          <w:szCs w:val="24"/>
        </w:rPr>
      </w:pPr>
      <w:r>
        <w:rPr>
          <w:color w:val="auto"/>
          <w:sz w:val="24"/>
          <w:szCs w:val="24"/>
        </w:rPr>
        <w:t>Komisijai ir tiesības pirms lēmuma pieņemšanas par iepirkuma līguma slēgšanas tiesību piešķiršanas pieprasīt, lai pretendents, kurš ir iesniedzis Eiropas vienoto iepirkuma procedūras dokumentu un kuram iepirkuma procedūrā būtu piešķiramas iepirkuma līguma slēgšanas tiesības, iesniedz dokumentus, kas apliecina pretendenta atbilstību pretendenta atlases prasībām.</w:t>
      </w:r>
    </w:p>
    <w:p>
      <w:pPr>
        <w:pStyle w:val="8"/>
        <w:numPr>
          <w:ilvl w:val="0"/>
          <w:numId w:val="24"/>
        </w:numPr>
        <w:tabs>
          <w:tab w:val="left" w:pos="426"/>
          <w:tab w:val="left" w:pos="851"/>
        </w:tabs>
        <w:ind w:left="425" w:leftChars="0" w:hanging="425" w:firstLineChars="0"/>
        <w:jc w:val="both"/>
        <w:rPr>
          <w:color w:val="auto"/>
          <w:sz w:val="24"/>
          <w:szCs w:val="24"/>
        </w:rPr>
      </w:pPr>
      <w:r>
        <w:rPr>
          <w:color w:val="auto"/>
          <w:sz w:val="24"/>
          <w:szCs w:val="24"/>
        </w:rPr>
        <w:t>Komisijai ir tiesības pieaicināt ekspertu piedāvājumu noformējuma pārbaudei, pretendentu atlasei un piedāvājumu atbilstības pārbaudei.</w:t>
      </w:r>
    </w:p>
    <w:p>
      <w:pPr>
        <w:pStyle w:val="8"/>
        <w:numPr>
          <w:ilvl w:val="0"/>
          <w:numId w:val="24"/>
        </w:numPr>
        <w:tabs>
          <w:tab w:val="left" w:pos="426"/>
          <w:tab w:val="left" w:pos="851"/>
        </w:tabs>
        <w:ind w:left="425" w:leftChars="0" w:hanging="425" w:firstLineChars="0"/>
        <w:jc w:val="both"/>
        <w:rPr>
          <w:color w:val="auto"/>
          <w:sz w:val="24"/>
          <w:szCs w:val="24"/>
        </w:rPr>
      </w:pPr>
      <w:r>
        <w:rPr>
          <w:color w:val="auto"/>
          <w:sz w:val="24"/>
          <w:szCs w:val="24"/>
        </w:rPr>
        <w:t xml:space="preserve">Komisijai ir tiesības izvēlēties nākamo piedāvājumu ar viszemāko cenu, ja izraudzītais pretendents </w:t>
      </w:r>
      <w:r>
        <w:rPr>
          <w:rFonts w:cs="26krzlcoljlsoja"/>
          <w:bCs/>
          <w:color w:val="auto"/>
          <w:sz w:val="24"/>
          <w:szCs w:val="24"/>
        </w:rPr>
        <w:t xml:space="preserve">neparaksta līgumu 10 (desmit) darba dienu laikā pēc Pasūtītāja uzaicinājuma parakstīt līgumu saņemšanas. </w:t>
      </w:r>
    </w:p>
    <w:p>
      <w:pPr>
        <w:pStyle w:val="8"/>
        <w:numPr>
          <w:ilvl w:val="0"/>
          <w:numId w:val="24"/>
        </w:numPr>
        <w:tabs>
          <w:tab w:val="left" w:pos="426"/>
        </w:tabs>
        <w:ind w:left="425" w:leftChars="0" w:hanging="425" w:firstLineChars="0"/>
        <w:jc w:val="both"/>
        <w:rPr>
          <w:color w:val="auto"/>
          <w:sz w:val="24"/>
          <w:szCs w:val="24"/>
        </w:rPr>
      </w:pPr>
      <w:r>
        <w:rPr>
          <w:color w:val="auto"/>
          <w:sz w:val="24"/>
          <w:szCs w:val="24"/>
        </w:rPr>
        <w:t>Objektīva pamatojuma gadījumā komisijai ir tiesības jebkurā brīdī pārtraukt iepirkuma procedūru.</w:t>
      </w:r>
    </w:p>
    <w:p>
      <w:pPr>
        <w:pStyle w:val="8"/>
        <w:numPr>
          <w:ilvl w:val="0"/>
          <w:numId w:val="24"/>
        </w:numPr>
        <w:tabs>
          <w:tab w:val="left" w:pos="426"/>
        </w:tabs>
        <w:ind w:left="425" w:leftChars="0" w:hanging="425" w:firstLineChars="0"/>
        <w:jc w:val="both"/>
        <w:rPr>
          <w:color w:val="auto"/>
          <w:sz w:val="24"/>
          <w:szCs w:val="24"/>
        </w:rPr>
      </w:pPr>
      <w:r>
        <w:rPr>
          <w:color w:val="auto"/>
          <w:sz w:val="24"/>
          <w:szCs w:val="24"/>
        </w:rPr>
        <w:t>Komisija vērtē pretendentus un to iesniegtos piedāvājumus saskaņā ar PIL, citiem normatīvajiem aktiem un šo nolikumu.</w:t>
      </w:r>
    </w:p>
    <w:p>
      <w:pPr>
        <w:pStyle w:val="8"/>
        <w:numPr>
          <w:numId w:val="0"/>
        </w:numPr>
        <w:tabs>
          <w:tab w:val="left" w:pos="426"/>
        </w:tabs>
        <w:ind w:leftChars="0"/>
        <w:jc w:val="both"/>
        <w:rPr>
          <w:color w:val="FF0000"/>
          <w:sz w:val="24"/>
          <w:szCs w:val="24"/>
        </w:rPr>
      </w:pPr>
    </w:p>
    <w:p>
      <w:pPr>
        <w:pStyle w:val="8"/>
        <w:numPr>
          <w:numId w:val="0"/>
        </w:numPr>
        <w:spacing w:before="120" w:after="120"/>
        <w:ind w:left="357" w:leftChars="0"/>
        <w:jc w:val="center"/>
        <w:rPr>
          <w:b/>
          <w:color w:val="auto"/>
          <w:sz w:val="24"/>
          <w:szCs w:val="24"/>
        </w:rPr>
      </w:pPr>
      <w:r>
        <w:rPr>
          <w:rFonts w:hint="default"/>
          <w:b/>
          <w:color w:val="auto"/>
          <w:sz w:val="24"/>
          <w:szCs w:val="24"/>
        </w:rPr>
        <w:t xml:space="preserve">8. </w:t>
      </w:r>
      <w:r>
        <w:rPr>
          <w:b/>
          <w:color w:val="auto"/>
          <w:sz w:val="24"/>
          <w:szCs w:val="24"/>
        </w:rPr>
        <w:t>Pretendentu tiesības un pienākumi</w:t>
      </w:r>
    </w:p>
    <w:p>
      <w:pPr>
        <w:pStyle w:val="8"/>
        <w:numPr>
          <w:ilvl w:val="0"/>
          <w:numId w:val="25"/>
        </w:numPr>
        <w:tabs>
          <w:tab w:val="left" w:pos="426"/>
        </w:tabs>
        <w:ind w:left="425" w:leftChars="0" w:hanging="425" w:firstLineChars="0"/>
        <w:jc w:val="both"/>
        <w:rPr>
          <w:color w:val="auto"/>
          <w:sz w:val="24"/>
          <w:szCs w:val="24"/>
        </w:rPr>
      </w:pPr>
      <w:r>
        <w:rPr>
          <w:color w:val="auto"/>
          <w:sz w:val="24"/>
          <w:szCs w:val="24"/>
        </w:rPr>
        <w:t xml:space="preserve">Komisija nodrošina visiem ieinteresētajiem piegādātājiem iespēju iepazīties ar konkursa nolikumu Iepirkumu uzraudzības biroja tīmekļvietnē publicētajā paziņojumā par līgumu norādītajā nolikuma saņemšanas vietā un laikā. </w:t>
      </w:r>
    </w:p>
    <w:p>
      <w:pPr>
        <w:pStyle w:val="8"/>
        <w:numPr>
          <w:ilvl w:val="0"/>
          <w:numId w:val="25"/>
        </w:numPr>
        <w:tabs>
          <w:tab w:val="left" w:pos="426"/>
        </w:tabs>
        <w:ind w:left="425" w:leftChars="0" w:hanging="425" w:firstLineChars="0"/>
        <w:jc w:val="both"/>
        <w:rPr>
          <w:color w:val="auto"/>
          <w:sz w:val="24"/>
          <w:szCs w:val="24"/>
        </w:rPr>
      </w:pPr>
      <w:r>
        <w:rPr>
          <w:color w:val="auto"/>
          <w:sz w:val="24"/>
          <w:szCs w:val="24"/>
        </w:rPr>
        <w:t xml:space="preserve">Ar sava piedāvājuma iesniegšanu pretendents apliecina, ka piekrīt visiem konkursa nolikumā minētajiem noteikumiem, nosacījumiem un apņemas ievērot to kā pamatu piedāvājuma iesniegšanai un pasūtījuma izpildei (nolikuma </w:t>
      </w:r>
      <w:r>
        <w:rPr>
          <w:rFonts w:hint="default"/>
          <w:color w:val="auto"/>
          <w:sz w:val="24"/>
          <w:szCs w:val="24"/>
        </w:rPr>
        <w:t>1</w:t>
      </w:r>
      <w:r>
        <w:rPr>
          <w:color w:val="auto"/>
          <w:sz w:val="24"/>
          <w:szCs w:val="24"/>
        </w:rPr>
        <w:t>.pielikums).</w:t>
      </w:r>
    </w:p>
    <w:p>
      <w:pPr>
        <w:pStyle w:val="8"/>
        <w:numPr>
          <w:ilvl w:val="0"/>
          <w:numId w:val="25"/>
        </w:numPr>
        <w:tabs>
          <w:tab w:val="left" w:pos="426"/>
        </w:tabs>
        <w:ind w:left="425" w:leftChars="0" w:hanging="425" w:firstLineChars="0"/>
        <w:jc w:val="both"/>
        <w:rPr>
          <w:color w:val="auto"/>
          <w:sz w:val="24"/>
          <w:szCs w:val="24"/>
        </w:rPr>
      </w:pPr>
      <w:r>
        <w:rPr>
          <w:color w:val="auto"/>
          <w:sz w:val="24"/>
          <w:szCs w:val="24"/>
        </w:rPr>
        <w:t>Pretendentam ir pienākums sniegt atbildes uz komisijas pieprasījumiem par papildus informāciju, kas nepieciešama piedāvājumu noformējuma pārbaudei, pretendentu atlasei un piedāvājumu atbilstības pārbaudei.</w:t>
      </w:r>
    </w:p>
    <w:p>
      <w:pPr>
        <w:pStyle w:val="8"/>
        <w:numPr>
          <w:ilvl w:val="0"/>
          <w:numId w:val="25"/>
        </w:numPr>
        <w:tabs>
          <w:tab w:val="left" w:pos="720"/>
        </w:tabs>
        <w:ind w:left="425" w:leftChars="0" w:hanging="425" w:firstLineChars="0"/>
        <w:jc w:val="both"/>
        <w:rPr>
          <w:color w:val="auto"/>
          <w:sz w:val="24"/>
          <w:szCs w:val="24"/>
        </w:rPr>
      </w:pPr>
      <w:r>
        <w:rPr>
          <w:color w:val="auto"/>
          <w:sz w:val="24"/>
          <w:szCs w:val="24"/>
        </w:rPr>
        <w:t>Pretendenti, kuri piedalījušies konkursā, ir tiesīgi pārsūdzēt komisijas rīcību vai lēmumu normatīvajos aktos noteiktajā kārtībā.</w:t>
      </w:r>
    </w:p>
    <w:p>
      <w:pPr>
        <w:pStyle w:val="8"/>
        <w:ind w:left="425"/>
        <w:jc w:val="both"/>
        <w:rPr>
          <w:color w:val="FF0000"/>
          <w:sz w:val="24"/>
          <w:szCs w:val="24"/>
        </w:rPr>
      </w:pPr>
    </w:p>
    <w:p>
      <w:pPr>
        <w:pStyle w:val="8"/>
        <w:numPr>
          <w:numId w:val="0"/>
        </w:numPr>
        <w:ind w:left="357" w:leftChars="0"/>
        <w:jc w:val="center"/>
        <w:rPr>
          <w:b/>
          <w:color w:val="auto"/>
          <w:sz w:val="24"/>
          <w:szCs w:val="24"/>
        </w:rPr>
      </w:pPr>
      <w:r>
        <w:rPr>
          <w:rFonts w:hint="default"/>
          <w:b/>
          <w:color w:val="auto"/>
          <w:sz w:val="24"/>
          <w:szCs w:val="24"/>
        </w:rPr>
        <w:t xml:space="preserve">9. </w:t>
      </w:r>
      <w:r>
        <w:rPr>
          <w:b/>
          <w:color w:val="auto"/>
          <w:sz w:val="24"/>
          <w:szCs w:val="24"/>
        </w:rPr>
        <w:t>Līguma slēgšanas nosacījumi</w:t>
      </w:r>
    </w:p>
    <w:p>
      <w:pPr>
        <w:pStyle w:val="8"/>
        <w:numPr>
          <w:ilvl w:val="0"/>
          <w:numId w:val="26"/>
        </w:numPr>
        <w:tabs>
          <w:tab w:val="left" w:pos="720"/>
        </w:tabs>
        <w:ind w:left="425" w:leftChars="0" w:hanging="425" w:firstLineChars="0"/>
        <w:jc w:val="both"/>
        <w:rPr>
          <w:color w:val="auto"/>
          <w:sz w:val="24"/>
          <w:szCs w:val="24"/>
        </w:rPr>
      </w:pPr>
      <w:r>
        <w:rPr>
          <w:color w:val="auto"/>
          <w:sz w:val="24"/>
          <w:szCs w:val="24"/>
        </w:rPr>
        <w:t xml:space="preserve">Līguma projekts ir pievienots šim konkursa nolikumam (nolikuma </w:t>
      </w:r>
      <w:r>
        <w:rPr>
          <w:rFonts w:hint="default"/>
          <w:color w:val="auto"/>
          <w:sz w:val="24"/>
          <w:szCs w:val="24"/>
        </w:rPr>
        <w:t>6</w:t>
      </w:r>
      <w:r>
        <w:rPr>
          <w:color w:val="auto"/>
          <w:sz w:val="24"/>
          <w:szCs w:val="24"/>
        </w:rPr>
        <w:t>.pielikums) un ir šī nolikuma neatņemama sastāvdaļa.</w:t>
      </w:r>
    </w:p>
    <w:p>
      <w:pPr>
        <w:pStyle w:val="8"/>
        <w:numPr>
          <w:ilvl w:val="0"/>
          <w:numId w:val="26"/>
        </w:numPr>
        <w:ind w:left="425" w:leftChars="0" w:hanging="425" w:firstLineChars="0"/>
        <w:jc w:val="both"/>
        <w:rPr>
          <w:color w:val="auto"/>
          <w:sz w:val="24"/>
          <w:szCs w:val="24"/>
        </w:rPr>
      </w:pPr>
      <w:r>
        <w:rPr>
          <w:color w:val="auto"/>
          <w:sz w:val="24"/>
          <w:szCs w:val="24"/>
        </w:rPr>
        <w:t>Līgumu rakstveidā sagatavo Pasūtītājs un iesniedz to konkursa uzvarētājam.</w:t>
      </w:r>
    </w:p>
    <w:p>
      <w:pPr>
        <w:pStyle w:val="8"/>
        <w:numPr>
          <w:ilvl w:val="0"/>
          <w:numId w:val="26"/>
        </w:numPr>
        <w:ind w:left="425" w:leftChars="0" w:hanging="425" w:firstLineChars="0"/>
        <w:jc w:val="both"/>
        <w:rPr>
          <w:color w:val="auto"/>
          <w:sz w:val="24"/>
          <w:szCs w:val="24"/>
        </w:rPr>
      </w:pPr>
      <w:r>
        <w:rPr>
          <w:color w:val="auto"/>
          <w:sz w:val="24"/>
          <w:szCs w:val="24"/>
        </w:rPr>
        <w:t xml:space="preserve">Par atkāpšanos no līguma noteikumiem vai tā neizpildīšanu puses ir atbildīgas saskaņā ar līguma noteikumiem un Latvijas Republikas normatīvajiem aktiem.  </w:t>
      </w:r>
    </w:p>
    <w:p>
      <w:pPr>
        <w:pStyle w:val="8"/>
        <w:numPr>
          <w:ilvl w:val="0"/>
          <w:numId w:val="26"/>
        </w:numPr>
        <w:tabs>
          <w:tab w:val="left" w:pos="720"/>
        </w:tabs>
        <w:ind w:left="425" w:leftChars="0" w:hanging="425" w:firstLineChars="0"/>
        <w:jc w:val="both"/>
        <w:rPr>
          <w:color w:val="auto"/>
          <w:sz w:val="24"/>
          <w:szCs w:val="24"/>
        </w:rPr>
      </w:pPr>
      <w:r>
        <w:rPr>
          <w:color w:val="auto"/>
          <w:sz w:val="24"/>
          <w:szCs w:val="24"/>
        </w:rPr>
        <w:t xml:space="preserve">Ja iepirkuma uzvarētājs neparaksta līgumu </w:t>
      </w:r>
      <w:r>
        <w:rPr>
          <w:b/>
          <w:color w:val="auto"/>
          <w:sz w:val="24"/>
          <w:szCs w:val="24"/>
        </w:rPr>
        <w:t>10 (desmit) darba dienu</w:t>
      </w:r>
      <w:r>
        <w:rPr>
          <w:color w:val="auto"/>
          <w:sz w:val="24"/>
          <w:szCs w:val="24"/>
        </w:rPr>
        <w:t xml:space="preserve"> laikā no Pasūtītāja elektroniska uzaicinājuma (uzaicinājums tiek nosūtīts uz piedāvājumā norādītās pretendenta kontaktpersonas e-pasta adresi) saņemšanas brīža, tad Pasūtītājam ir tiesības pieņemt lēmumu slēgt līgumu ar nākamo pretendentu, kura piedāvājums atbilst visām prasībām un ir piedāvājums ar viszemāko cenu.</w:t>
      </w:r>
    </w:p>
    <w:p>
      <w:pPr>
        <w:numPr>
          <w:numId w:val="0"/>
        </w:numPr>
        <w:suppressAutoHyphens/>
        <w:spacing w:before="120" w:after="0" w:line="240" w:lineRule="auto"/>
        <w:ind w:leftChars="0"/>
        <w:contextualSpacing/>
        <w:jc w:val="center"/>
        <w:outlineLvl w:val="1"/>
        <w:rPr>
          <w:rFonts w:eastAsia="Times New Roman" w:cs="Times New Roman"/>
          <w:b/>
          <w:bCs/>
          <w:color w:val="auto"/>
          <w:szCs w:val="20"/>
        </w:rPr>
      </w:pPr>
      <w:r>
        <w:rPr>
          <w:rFonts w:hint="default" w:eastAsia="Times New Roman" w:cs="Times New Roman"/>
          <w:b/>
          <w:color w:val="auto"/>
          <w:szCs w:val="20"/>
        </w:rPr>
        <w:t xml:space="preserve">10. </w:t>
      </w:r>
      <w:r>
        <w:rPr>
          <w:rFonts w:eastAsia="Times New Roman" w:cs="Times New Roman"/>
          <w:b/>
          <w:color w:val="auto"/>
          <w:szCs w:val="20"/>
        </w:rPr>
        <w:t>Cita informācija</w:t>
      </w:r>
      <w:bookmarkEnd w:id="32"/>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0"/>
        </w:rPr>
        <w:t>Pretendentam ir jāiesniedz piedāvājums par visu iepirkuma priekšmetu. Iepirkums nav sadalīts daļās.</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Pasūtītājs un pretendents ar informāciju apmainās rakstiski latviešu valodā, nosūtot dokumentus pa pastu, elektroniski vai piegādājot personiski.</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Pretendents sedz visus izdevumus, kas ir saistīti ar piedāvājuma sagatavošanu un iesniegšanu pasūtītājam.</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Ja izraudzītais pretendents atsakās slēgt iepirkuma līgumu ar pasūtītāju, iepirkuma komisija ir tiesīga izvēlēties nākamo piedāvājumu ar zemāko cenu vai pieņem lēmumu izbeigt konkursu, neizvēloties nevienu piedāvājumu.</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Ja ir iesniegts tikai viens piedāvājums, tad iepirkumu komisija var slēgt līgumu ar šo pretendentu tad, ja:</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Iesniegtais piedāvājums atbilst nolikuma un tā pielikumu prasībām;</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Uz pretendentu neattiecas neviens no Publisko iepirkumu likumā noteiktajiem izslēgšanas nosacījumiem.</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Iepirkuma līgumu slēdz saskaņā ar nolikuma pielikumā pievienoto līguma projektu.</w:t>
      </w:r>
    </w:p>
    <w:p>
      <w:pPr>
        <w:numPr>
          <w:ilvl w:val="0"/>
          <w:numId w:val="27"/>
        </w:numPr>
        <w:suppressAutoHyphens/>
        <w:spacing w:after="0" w:line="240" w:lineRule="auto"/>
        <w:ind w:left="425" w:leftChars="0" w:hanging="425" w:firstLineChars="0"/>
        <w:contextualSpacing/>
        <w:jc w:val="both"/>
        <w:rPr>
          <w:rFonts w:eastAsia="Times New Roman" w:cs="Times New Roman"/>
          <w:color w:val="auto"/>
          <w:szCs w:val="24"/>
          <w:lang w:eastAsia="ar-SA"/>
        </w:rPr>
      </w:pPr>
      <w:r>
        <w:rPr>
          <w:rFonts w:eastAsia="Times New Roman" w:cs="Times New Roman"/>
          <w:color w:val="auto"/>
          <w:szCs w:val="24"/>
          <w:lang w:eastAsia="ar-SA"/>
        </w:rPr>
        <w:t>Sagatavojot piedāvājumu, pretendentiem pašiem ir jāizvērtē piegādājamās preces (preču daudzumu saraksti un citi iepirkuma dokumenti), un ir jāparedz visu līguma izmaksu (par piegādi un uzstādīšanu) lielums atbilstoši līguma projektā paredzētajam, kas ir jāiekļauj piedāvājuma cenā.</w:t>
      </w:r>
    </w:p>
    <w:p>
      <w:pPr>
        <w:tabs>
          <w:tab w:val="left" w:pos="0"/>
          <w:tab w:val="left" w:pos="284"/>
        </w:tabs>
        <w:suppressAutoHyphens/>
        <w:spacing w:after="0" w:line="240" w:lineRule="auto"/>
        <w:jc w:val="center"/>
        <w:rPr>
          <w:rFonts w:eastAsia="Times New Roman" w:cs="Times New Roman"/>
          <w:b/>
          <w:bCs/>
          <w:color w:val="FF0000"/>
          <w:szCs w:val="24"/>
          <w:u w:val="single"/>
          <w:lang w:eastAsia="ar-SA"/>
        </w:rPr>
      </w:pPr>
    </w:p>
    <w:p>
      <w:pPr>
        <w:tabs>
          <w:tab w:val="left" w:pos="426"/>
        </w:tabs>
        <w:suppressAutoHyphens/>
        <w:spacing w:after="0" w:line="240" w:lineRule="auto"/>
        <w:jc w:val="center"/>
        <w:rPr>
          <w:rFonts w:eastAsia="Times New Roman" w:cs="Times New Roman"/>
          <w:b/>
          <w:bCs/>
          <w:color w:val="auto"/>
          <w:szCs w:val="24"/>
          <w:lang w:eastAsia="ar-SA"/>
        </w:rPr>
      </w:pPr>
      <w:r>
        <w:rPr>
          <w:rFonts w:hint="default" w:eastAsia="Times New Roman" w:cs="Times New Roman"/>
          <w:b/>
          <w:bCs/>
          <w:color w:val="auto"/>
          <w:szCs w:val="24"/>
          <w:lang w:eastAsia="ar-SA"/>
        </w:rPr>
        <w:t xml:space="preserve">11. </w:t>
      </w:r>
      <w:r>
        <w:rPr>
          <w:rFonts w:eastAsia="Times New Roman" w:cs="Times New Roman"/>
          <w:b/>
          <w:bCs/>
          <w:color w:val="auto"/>
          <w:szCs w:val="24"/>
          <w:lang w:eastAsia="ar-SA"/>
        </w:rPr>
        <w:t>Pielikumu saraksts</w:t>
      </w:r>
    </w:p>
    <w:p>
      <w:pPr>
        <w:suppressAutoHyphens/>
        <w:spacing w:after="0" w:line="240" w:lineRule="auto"/>
        <w:ind w:firstLine="567"/>
        <w:rPr>
          <w:rFonts w:eastAsia="Times New Roman" w:cs="Times New Roman"/>
          <w:bCs/>
          <w:color w:val="auto"/>
          <w:szCs w:val="24"/>
          <w:lang w:eastAsia="ar-SA"/>
        </w:rPr>
      </w:pPr>
      <w:r>
        <w:rPr>
          <w:rFonts w:eastAsia="Times New Roman" w:cs="Times New Roman"/>
          <w:bCs/>
          <w:color w:val="auto"/>
          <w:szCs w:val="24"/>
          <w:lang w:eastAsia="ar-SA"/>
        </w:rPr>
        <w:t>1.pielikums: Pieteikums dalībai iepirkumā;</w:t>
      </w:r>
    </w:p>
    <w:p>
      <w:pPr>
        <w:suppressAutoHyphens/>
        <w:spacing w:after="0" w:line="240" w:lineRule="auto"/>
        <w:ind w:firstLine="567"/>
        <w:rPr>
          <w:rFonts w:eastAsia="Times New Roman" w:cs="Times New Roman"/>
          <w:bCs/>
          <w:color w:val="auto"/>
          <w:szCs w:val="24"/>
          <w:lang w:eastAsia="ar-SA"/>
        </w:rPr>
      </w:pPr>
      <w:r>
        <w:rPr>
          <w:rFonts w:eastAsia="Times New Roman" w:cs="Times New Roman"/>
          <w:bCs/>
          <w:color w:val="auto"/>
          <w:szCs w:val="24"/>
          <w:lang w:eastAsia="ar-SA"/>
        </w:rPr>
        <w:t>2.pielikums: Pretendenta Finanšu piedāvājums;</w:t>
      </w:r>
    </w:p>
    <w:p>
      <w:pPr>
        <w:suppressAutoHyphens/>
        <w:spacing w:after="0" w:line="240" w:lineRule="auto"/>
        <w:ind w:firstLine="567"/>
        <w:rPr>
          <w:rFonts w:hint="default" w:eastAsia="Times New Roman" w:cs="Times New Roman"/>
          <w:bCs/>
          <w:color w:val="auto"/>
          <w:szCs w:val="24"/>
          <w:lang w:eastAsia="ar-SA"/>
        </w:rPr>
      </w:pPr>
      <w:r>
        <w:rPr>
          <w:rFonts w:eastAsia="Times New Roman" w:cs="Times New Roman"/>
          <w:bCs/>
          <w:color w:val="auto"/>
          <w:szCs w:val="24"/>
          <w:lang w:eastAsia="ar-SA"/>
        </w:rPr>
        <w:t>3.pielikums</w:t>
      </w:r>
      <w:r>
        <w:rPr>
          <w:rFonts w:hint="default" w:eastAsia="Times New Roman" w:cs="Times New Roman"/>
          <w:bCs/>
          <w:color w:val="auto"/>
          <w:szCs w:val="24"/>
          <w:lang w:eastAsia="ar-SA"/>
        </w:rPr>
        <w:t>: Pretendenta finanšu apgrozījums;</w:t>
      </w:r>
    </w:p>
    <w:p>
      <w:pPr>
        <w:suppressAutoHyphens/>
        <w:spacing w:after="0" w:line="240" w:lineRule="auto"/>
        <w:ind w:firstLine="567"/>
        <w:rPr>
          <w:rFonts w:hint="default" w:eastAsia="Times New Roman" w:cs="Times New Roman"/>
          <w:bCs/>
          <w:color w:val="auto"/>
          <w:szCs w:val="24"/>
          <w:lang w:eastAsia="ar-SA"/>
        </w:rPr>
      </w:pPr>
      <w:r>
        <w:rPr>
          <w:rFonts w:hint="default" w:eastAsia="Times New Roman" w:cs="Times New Roman"/>
          <w:bCs/>
          <w:color w:val="auto"/>
          <w:szCs w:val="24"/>
          <w:lang w:eastAsia="ar-SA"/>
        </w:rPr>
        <w:t>4.pielikums: Pretendenta pieredzes apliecinājums;</w:t>
      </w:r>
    </w:p>
    <w:p>
      <w:pPr>
        <w:suppressAutoHyphens/>
        <w:spacing w:after="0" w:line="240" w:lineRule="auto"/>
        <w:ind w:firstLine="567"/>
        <w:rPr>
          <w:rFonts w:eastAsia="Times New Roman" w:cs="Times New Roman"/>
          <w:b w:val="0"/>
          <w:bCs/>
          <w:color w:val="auto"/>
          <w:sz w:val="24"/>
          <w:szCs w:val="24"/>
          <w:lang w:eastAsia="ar-SA"/>
        </w:rPr>
      </w:pPr>
      <w:r>
        <w:rPr>
          <w:rFonts w:hint="default" w:eastAsia="Times New Roman" w:cs="Times New Roman"/>
          <w:bCs/>
          <w:color w:val="auto"/>
          <w:szCs w:val="24"/>
          <w:lang w:eastAsia="ar-SA"/>
        </w:rPr>
        <w:t>5</w:t>
      </w:r>
      <w:r>
        <w:rPr>
          <w:rFonts w:eastAsia="Times New Roman" w:cs="Times New Roman"/>
          <w:bCs/>
          <w:color w:val="auto"/>
          <w:szCs w:val="24"/>
          <w:lang w:eastAsia="ar-SA"/>
        </w:rPr>
        <w:t>.pielikums</w:t>
      </w:r>
      <w:r>
        <w:rPr>
          <w:rFonts w:hint="default" w:eastAsia="Times New Roman" w:cs="Times New Roman"/>
          <w:bCs/>
          <w:color w:val="auto"/>
          <w:szCs w:val="24"/>
          <w:lang w:eastAsia="ar-SA"/>
        </w:rPr>
        <w:t>:</w:t>
      </w:r>
      <w:r>
        <w:rPr>
          <w:rFonts w:eastAsia="Times New Roman" w:cs="Times New Roman"/>
          <w:bCs/>
          <w:color w:val="auto"/>
          <w:szCs w:val="24"/>
          <w:lang w:eastAsia="ar-SA"/>
        </w:rPr>
        <w:t xml:space="preserve"> Tehniskais</w:t>
      </w:r>
      <w:r>
        <w:rPr>
          <w:rFonts w:eastAsia="Times New Roman" w:cs="Times New Roman"/>
          <w:b w:val="0"/>
          <w:bCs/>
          <w:color w:val="auto"/>
          <w:sz w:val="24"/>
          <w:szCs w:val="24"/>
          <w:lang w:eastAsia="ar-SA"/>
        </w:rPr>
        <w:t xml:space="preserve"> piedāvājums;</w:t>
      </w:r>
    </w:p>
    <w:p>
      <w:pPr>
        <w:suppressAutoHyphens/>
        <w:spacing w:after="0" w:line="240" w:lineRule="auto"/>
        <w:ind w:firstLine="567"/>
        <w:rPr>
          <w:rFonts w:hint="default"/>
          <w:b w:val="0"/>
          <w:bCs/>
          <w:color w:val="auto"/>
          <w:sz w:val="24"/>
          <w:szCs w:val="24"/>
        </w:rPr>
      </w:pPr>
      <w:r>
        <w:rPr>
          <w:rFonts w:hint="default" w:eastAsia="Times New Roman" w:cs="Times New Roman"/>
          <w:b w:val="0"/>
          <w:bCs/>
          <w:color w:val="auto"/>
          <w:sz w:val="24"/>
          <w:szCs w:val="24"/>
          <w:lang w:eastAsia="ar-SA"/>
        </w:rPr>
        <w:t xml:space="preserve">5.1.pielikums: </w:t>
      </w:r>
      <w:r>
        <w:rPr>
          <w:b w:val="0"/>
          <w:bCs/>
          <w:color w:val="auto"/>
          <w:sz w:val="24"/>
          <w:szCs w:val="24"/>
        </w:rPr>
        <w:t>Pārbaudāmo objektu adreses, un tehniskie raksturlielumi</w:t>
      </w:r>
      <w:r>
        <w:rPr>
          <w:rFonts w:hint="default"/>
          <w:b w:val="0"/>
          <w:bCs/>
          <w:color w:val="auto"/>
          <w:sz w:val="24"/>
          <w:szCs w:val="24"/>
        </w:rPr>
        <w:t>;</w:t>
      </w:r>
    </w:p>
    <w:p>
      <w:pPr>
        <w:suppressAutoHyphens/>
        <w:spacing w:after="0" w:line="240" w:lineRule="auto"/>
        <w:ind w:firstLine="567"/>
        <w:rPr>
          <w:rFonts w:hint="default"/>
          <w:b w:val="0"/>
          <w:bCs/>
          <w:color w:val="auto"/>
          <w:sz w:val="24"/>
          <w:szCs w:val="24"/>
          <w:lang w:eastAsia="ar-SA"/>
        </w:rPr>
      </w:pPr>
      <w:r>
        <w:rPr>
          <w:rFonts w:hint="default"/>
          <w:b w:val="0"/>
          <w:bCs/>
          <w:color w:val="auto"/>
          <w:sz w:val="24"/>
          <w:szCs w:val="24"/>
        </w:rPr>
        <w:t>5.2.pielikums: Tehniskais piedāvājums;</w:t>
      </w:r>
    </w:p>
    <w:p>
      <w:pPr>
        <w:suppressAutoHyphens/>
        <w:spacing w:after="0" w:line="240" w:lineRule="auto"/>
        <w:ind w:firstLine="567"/>
        <w:rPr>
          <w:rFonts w:ascii="Times New Roman" w:hAnsi="Times New Roman" w:eastAsia="SimSun"/>
          <w:color w:val="auto"/>
          <w:szCs w:val="24"/>
          <w:lang w:eastAsia="zh-CN"/>
        </w:rPr>
      </w:pPr>
      <w:r>
        <w:rPr>
          <w:rFonts w:hint="default" w:eastAsia="Times New Roman" w:cs="Times New Roman"/>
          <w:bCs/>
          <w:color w:val="auto"/>
          <w:szCs w:val="24"/>
          <w:lang w:eastAsia="ar-SA"/>
        </w:rPr>
        <w:t>6</w:t>
      </w:r>
      <w:r>
        <w:rPr>
          <w:rFonts w:eastAsia="Times New Roman" w:cs="Times New Roman"/>
          <w:bCs/>
          <w:color w:val="auto"/>
          <w:szCs w:val="24"/>
          <w:lang w:eastAsia="ar-SA"/>
        </w:rPr>
        <w:t>.pielikums:</w:t>
      </w:r>
      <w:r>
        <w:rPr>
          <w:rFonts w:hint="default" w:eastAsia="Times New Roman" w:cs="Times New Roman"/>
          <w:bCs/>
          <w:color w:val="auto"/>
          <w:szCs w:val="24"/>
          <w:lang w:eastAsia="ar-SA"/>
        </w:rPr>
        <w:t xml:space="preserve"> </w:t>
      </w:r>
      <w:r>
        <w:rPr>
          <w:rFonts w:eastAsia="Times New Roman" w:cs="Times New Roman"/>
          <w:bCs/>
          <w:color w:val="auto"/>
          <w:szCs w:val="24"/>
          <w:lang w:eastAsia="ar-SA"/>
        </w:rPr>
        <w:t>Iepirkuma līguma projekts</w:t>
      </w:r>
      <w:r>
        <w:rPr>
          <w:rFonts w:ascii="Times New Roman" w:hAnsi="Times New Roman" w:eastAsia="SimSun"/>
          <w:color w:val="auto"/>
          <w:szCs w:val="24"/>
          <w:lang w:eastAsia="zh-CN"/>
        </w:rPr>
        <w:t>.</w:t>
      </w:r>
    </w:p>
    <w:p>
      <w:pPr>
        <w:suppressAutoHyphens/>
        <w:spacing w:after="0" w:line="240" w:lineRule="auto"/>
        <w:jc w:val="right"/>
        <w:rPr>
          <w:rFonts w:eastAsia="Times New Roman" w:cs="Times New Roman"/>
          <w:bCs/>
          <w:color w:val="auto"/>
          <w:sz w:val="22"/>
          <w:lang w:eastAsia="ar-SA"/>
        </w:rPr>
      </w:pPr>
      <w:r>
        <w:rPr>
          <w:rFonts w:eastAsia="Times New Roman" w:cs="Times New Roman"/>
          <w:bCs/>
          <w:color w:val="auto"/>
          <w:sz w:val="22"/>
          <w:lang w:eastAsia="ar-SA"/>
        </w:rPr>
        <w:t xml:space="preserve">Nolikuma pielikums Nr.1 </w:t>
      </w:r>
    </w:p>
    <w:p>
      <w:pPr>
        <w:suppressAutoHyphens/>
        <w:spacing w:after="0" w:line="240" w:lineRule="auto"/>
        <w:jc w:val="right"/>
        <w:rPr>
          <w:rFonts w:eastAsia="Times New Roman" w:cs="Times New Roman"/>
          <w:iCs/>
          <w:color w:val="auto"/>
          <w:sz w:val="22"/>
          <w:lang w:eastAsia="ar-SA"/>
        </w:rPr>
      </w:pPr>
      <w:r>
        <w:rPr>
          <w:rFonts w:eastAsia="Times New Roman" w:cs="Times New Roman"/>
          <w:color w:val="auto"/>
          <w:sz w:val="22"/>
          <w:lang w:eastAsia="ar-SA"/>
        </w:rPr>
        <w:t xml:space="preserve">SIA “DOBELES NAMSAIMNIEKS” izsludinātajā </w:t>
      </w:r>
      <w:r>
        <w:rPr>
          <w:rFonts w:eastAsia="Times New Roman" w:cs="Times New Roman"/>
          <w:iCs/>
          <w:color w:val="auto"/>
          <w:sz w:val="22"/>
          <w:lang w:eastAsia="ar-SA"/>
        </w:rPr>
        <w:t xml:space="preserve">iepirkumā </w:t>
      </w:r>
    </w:p>
    <w:p>
      <w:pPr>
        <w:suppressAutoHyphens/>
        <w:spacing w:after="0" w:line="240" w:lineRule="auto"/>
        <w:jc w:val="right"/>
        <w:rPr>
          <w:rFonts w:eastAsia="Times New Roman" w:cs="Times New Roman"/>
          <w:bCs/>
          <w:color w:val="auto"/>
          <w:sz w:val="22"/>
          <w:lang w:eastAsia="ar-SA"/>
        </w:rPr>
      </w:pPr>
      <w:r>
        <w:rPr>
          <w:rFonts w:eastAsia="Times New Roman" w:cs="Times New Roman"/>
          <w:iCs/>
          <w:color w:val="auto"/>
          <w:sz w:val="22"/>
          <w:lang w:eastAsia="ar-SA"/>
        </w:rPr>
        <w:t xml:space="preserve">ID Nr. </w:t>
      </w:r>
      <w:r>
        <w:rPr>
          <w:rFonts w:eastAsia="Times New Roman" w:cs="Times New Roman"/>
          <w:color w:val="auto"/>
          <w:sz w:val="22"/>
          <w:lang w:eastAsia="ar-SA"/>
        </w:rPr>
        <w:t>SIA DN 20</w:t>
      </w:r>
      <w:r>
        <w:rPr>
          <w:rFonts w:hint="default" w:eastAsia="Times New Roman" w:cs="Times New Roman"/>
          <w:color w:val="auto"/>
          <w:sz w:val="22"/>
          <w:lang w:eastAsia="ar-SA"/>
        </w:rPr>
        <w:t>20</w:t>
      </w:r>
      <w:r>
        <w:rPr>
          <w:rFonts w:eastAsia="Times New Roman" w:cs="Times New Roman"/>
          <w:color w:val="auto"/>
          <w:sz w:val="22"/>
          <w:lang w:eastAsia="ar-SA"/>
        </w:rPr>
        <w:t>/</w:t>
      </w:r>
      <w:r>
        <w:rPr>
          <w:rFonts w:hint="default" w:eastAsia="Times New Roman" w:cs="Times New Roman"/>
          <w:color w:val="auto"/>
          <w:sz w:val="22"/>
          <w:lang w:eastAsia="ar-SA"/>
        </w:rPr>
        <w:t>6</w:t>
      </w:r>
    </w:p>
    <w:p>
      <w:pPr>
        <w:keepNext/>
        <w:spacing w:after="0" w:line="240" w:lineRule="auto"/>
        <w:jc w:val="both"/>
        <w:outlineLvl w:val="2"/>
        <w:rPr>
          <w:rFonts w:eastAsia="Times New Roman" w:cs="Times New Roman"/>
          <w:color w:val="auto"/>
          <w:szCs w:val="24"/>
        </w:rPr>
      </w:pPr>
    </w:p>
    <w:p>
      <w:pPr>
        <w:jc w:val="center"/>
        <w:rPr>
          <w:b/>
          <w:caps/>
          <w:color w:val="auto"/>
          <w:sz w:val="28"/>
          <w:szCs w:val="28"/>
        </w:rPr>
      </w:pPr>
      <w:r>
        <w:rPr>
          <w:b/>
          <w:caps/>
          <w:color w:val="auto"/>
          <w:sz w:val="28"/>
          <w:szCs w:val="28"/>
        </w:rPr>
        <w:t>Pretendenta pieteikums</w:t>
      </w:r>
    </w:p>
    <w:p>
      <w:pPr>
        <w:jc w:val="center"/>
        <w:rPr>
          <w:color w:val="auto"/>
        </w:rPr>
      </w:pPr>
    </w:p>
    <w:p>
      <w:pPr>
        <w:jc w:val="both"/>
        <w:rPr>
          <w:rFonts w:eastAsia="Calibri" w:cs="Calibri"/>
          <w:b/>
          <w:i/>
          <w:color w:val="auto"/>
        </w:rPr>
      </w:pPr>
      <w:r>
        <w:rPr>
          <w:rFonts w:hint="default"/>
          <w:color w:val="auto"/>
        </w:rPr>
        <w:t>Iepirkumam</w:t>
      </w:r>
      <w:r>
        <w:rPr>
          <w:color w:val="auto"/>
        </w:rPr>
        <w:t xml:space="preserve"> </w:t>
      </w:r>
      <w:r>
        <w:rPr>
          <w:rFonts w:eastAsia="Calibri" w:cs="Calibri"/>
          <w:b/>
          <w:i/>
          <w:color w:val="auto"/>
        </w:rPr>
        <w:t>“</w:t>
      </w:r>
      <w:r>
        <w:rPr>
          <w:b/>
          <w:bCs/>
          <w:color w:val="auto"/>
        </w:rPr>
        <w:t>Elektroapgādes sistēmu mērījumi SIA “DOBELES NAMSAIMNIEKS” apsaimniekojamos objektos</w:t>
      </w:r>
      <w:r>
        <w:rPr>
          <w:b/>
          <w:color w:val="auto"/>
        </w:rPr>
        <w:t xml:space="preserve">” </w:t>
      </w:r>
    </w:p>
    <w:p>
      <w:pPr>
        <w:spacing w:before="60" w:after="60"/>
        <w:jc w:val="both"/>
        <w:rPr>
          <w:color w:val="auto"/>
          <w:szCs w:val="20"/>
        </w:rPr>
      </w:pPr>
    </w:p>
    <w:p>
      <w:pPr>
        <w:spacing w:before="60" w:after="60"/>
        <w:jc w:val="both"/>
        <w:rPr>
          <w:color w:val="auto"/>
        </w:rPr>
      </w:pPr>
      <w:r>
        <w:rPr>
          <w:color w:val="auto"/>
        </w:rPr>
        <w:t>Saskaņā ar iepirkuma nolikuma noteikumiem es, apakšā parakstījies, apliecinu, ka:</w:t>
      </w:r>
    </w:p>
    <w:p>
      <w:pPr>
        <w:pStyle w:val="8"/>
        <w:numPr>
          <w:ilvl w:val="0"/>
          <w:numId w:val="28"/>
        </w:numPr>
        <w:spacing w:before="120" w:after="120"/>
        <w:ind w:left="284" w:hanging="284"/>
        <w:jc w:val="both"/>
        <w:rPr>
          <w:color w:val="auto"/>
        </w:rPr>
      </w:pPr>
      <w:r>
        <w:rPr>
          <w:i/>
          <w:color w:val="auto"/>
        </w:rPr>
        <w:t>&lt;Pretendenta nosaukums&gt;</w:t>
      </w:r>
      <w:r>
        <w:rPr>
          <w:color w:val="auto"/>
        </w:rPr>
        <w:t xml:space="preserve"> (turpmāk – pretendents) piekrīt iepirkuma nolikuma noteikumiem, tai skaitā tehniskajai specifikācijai un garantē nolikuma prasību izpildi. Nolikums ir skaidrs un saprotams. Iesniedzot piedāvājumu, pretendents pilnībā atzīst visus nolikumā ietvertos nosacījumus;</w:t>
      </w:r>
    </w:p>
    <w:p>
      <w:pPr>
        <w:pStyle w:val="8"/>
        <w:numPr>
          <w:ilvl w:val="0"/>
          <w:numId w:val="28"/>
        </w:numPr>
        <w:tabs>
          <w:tab w:val="left" w:pos="851"/>
        </w:tabs>
        <w:spacing w:before="120" w:after="120"/>
        <w:ind w:left="284" w:hanging="284"/>
        <w:jc w:val="both"/>
        <w:rPr>
          <w:color w:val="auto"/>
        </w:rPr>
      </w:pPr>
      <w:r>
        <w:rPr>
          <w:color w:val="auto"/>
        </w:rPr>
        <w:t>pieteikumam pievienotie dokumenti veido šo piedāvājumu;</w:t>
      </w:r>
    </w:p>
    <w:p>
      <w:pPr>
        <w:pStyle w:val="8"/>
        <w:numPr>
          <w:ilvl w:val="0"/>
          <w:numId w:val="28"/>
        </w:numPr>
        <w:spacing w:before="120" w:after="120"/>
        <w:ind w:left="426" w:hanging="426"/>
        <w:jc w:val="both"/>
        <w:rPr>
          <w:color w:val="auto"/>
        </w:rPr>
      </w:pPr>
      <w:r>
        <w:rPr>
          <w:color w:val="auto"/>
        </w:rPr>
        <w:t>visas piedāvājumā iekļautās dokumentu kopijas, kas piedāvājumā atzīmētas ar atbilstošu atzīmi „KOPIJA PAREIZA”, atbilst dokumentu oriģināliem;</w:t>
      </w:r>
    </w:p>
    <w:p>
      <w:pPr>
        <w:pStyle w:val="8"/>
        <w:numPr>
          <w:ilvl w:val="0"/>
          <w:numId w:val="28"/>
        </w:numPr>
        <w:tabs>
          <w:tab w:val="left" w:pos="0"/>
          <w:tab w:val="left" w:pos="284"/>
        </w:tabs>
        <w:spacing w:before="120" w:after="120"/>
        <w:ind w:left="426" w:hanging="426"/>
        <w:jc w:val="both"/>
        <w:rPr>
          <w:color w:val="auto"/>
        </w:rPr>
      </w:pPr>
      <w:r>
        <w:rPr>
          <w:color w:val="auto"/>
        </w:rPr>
        <w:t>piekrītam nolikumam pievienotā līguma projekta noteikumiem, un mūsu piedāvājuma akceptēšanas gadījumā piekrītam slēgt iepirkuma līgumu saskaņā ar šo līguma projektu;</w:t>
      </w:r>
    </w:p>
    <w:p>
      <w:pPr>
        <w:pStyle w:val="8"/>
        <w:numPr>
          <w:ilvl w:val="0"/>
          <w:numId w:val="28"/>
        </w:numPr>
        <w:tabs>
          <w:tab w:val="left" w:pos="426"/>
        </w:tabs>
        <w:spacing w:before="120" w:after="120"/>
        <w:ind w:left="284" w:hanging="284"/>
        <w:jc w:val="both"/>
        <w:rPr>
          <w:color w:val="auto"/>
        </w:rPr>
      </w:pPr>
      <w:r>
        <w:rPr>
          <w:color w:val="auto"/>
        </w:rPr>
        <w:t>visas piedāvājumā sniegtās ziņas ir patiesas.</w:t>
      </w:r>
    </w:p>
    <w:p>
      <w:pPr>
        <w:jc w:val="both"/>
        <w:rPr>
          <w:color w:val="auto"/>
        </w:rPr>
      </w:pPr>
      <w:r>
        <w:rPr>
          <w:color w:val="auto"/>
        </w:rPr>
        <w:t xml:space="preserve"> Informācija par pretendentu:</w:t>
      </w:r>
    </w:p>
    <w:tbl>
      <w:tblPr>
        <w:tblW w:w="9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77"/>
        <w:gridCol w:w="2544"/>
        <w:gridCol w:w="3656"/>
        <w:gridCol w:w="2718"/>
        <w:gridCol w:w="1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gridAfter w:val="1"/>
          <w:wAfter w:w="153" w:type="dxa"/>
        </w:trPr>
        <w:tc>
          <w:tcPr>
            <w:tcW w:w="577" w:type="dxa"/>
            <w:vAlign w:val="top"/>
          </w:tcPr>
          <w:p>
            <w:pPr>
              <w:rPr>
                <w:color w:val="auto"/>
              </w:rPr>
            </w:pPr>
            <w:r>
              <w:rPr>
                <w:color w:val="auto"/>
              </w:rPr>
              <w:t>1.</w:t>
            </w:r>
          </w:p>
        </w:tc>
        <w:tc>
          <w:tcPr>
            <w:tcW w:w="8918" w:type="dxa"/>
            <w:gridSpan w:val="3"/>
            <w:vAlign w:val="top"/>
          </w:tcPr>
          <w:p>
            <w:pPr>
              <w:ind w:firstLine="1"/>
              <w:rPr>
                <w:color w:val="auto"/>
              </w:rPr>
            </w:pPr>
            <w:r>
              <w:rPr>
                <w:color w:val="auto"/>
              </w:rPr>
              <w:t>Nosaukums: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2.</w:t>
            </w:r>
          </w:p>
        </w:tc>
        <w:tc>
          <w:tcPr>
            <w:tcW w:w="8918" w:type="dxa"/>
            <w:gridSpan w:val="3"/>
            <w:vAlign w:val="top"/>
          </w:tcPr>
          <w:p>
            <w:pPr>
              <w:ind w:firstLine="1"/>
              <w:rPr>
                <w:color w:val="auto"/>
              </w:rPr>
            </w:pPr>
            <w:r>
              <w:rPr>
                <w:color w:val="auto"/>
              </w:rPr>
              <w:t>Adrese: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3.</w:t>
            </w:r>
          </w:p>
        </w:tc>
        <w:tc>
          <w:tcPr>
            <w:tcW w:w="8918" w:type="dxa"/>
            <w:gridSpan w:val="3"/>
            <w:vAlign w:val="top"/>
          </w:tcPr>
          <w:p>
            <w:pPr>
              <w:ind w:firstLine="1"/>
              <w:rPr>
                <w:color w:val="auto"/>
              </w:rPr>
            </w:pPr>
            <w:r>
              <w:rPr>
                <w:color w:val="auto"/>
              </w:rPr>
              <w:t>Reģistrēts Latvijas Republikas Uzņēmumu reģistrā ar reģistrācijas numuru: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4.</w:t>
            </w:r>
          </w:p>
        </w:tc>
        <w:tc>
          <w:tcPr>
            <w:tcW w:w="8918" w:type="dxa"/>
            <w:gridSpan w:val="3"/>
            <w:vAlign w:val="top"/>
          </w:tcPr>
          <w:p>
            <w:pPr>
              <w:ind w:firstLine="1"/>
              <w:rPr>
                <w:color w:val="auto"/>
              </w:rPr>
            </w:pPr>
            <w:r>
              <w:rPr>
                <w:color w:val="auto"/>
              </w:rPr>
              <w:t>Reģistrācijas vieta: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5.</w:t>
            </w:r>
          </w:p>
        </w:tc>
        <w:tc>
          <w:tcPr>
            <w:tcW w:w="8918" w:type="dxa"/>
            <w:gridSpan w:val="3"/>
            <w:vAlign w:val="top"/>
          </w:tcPr>
          <w:p>
            <w:pPr>
              <w:ind w:firstLine="1"/>
              <w:rPr>
                <w:color w:val="auto"/>
              </w:rPr>
            </w:pPr>
            <w:r>
              <w:rPr>
                <w:color w:val="auto"/>
              </w:rPr>
              <w:t>Reģistrācijas 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6.</w:t>
            </w:r>
          </w:p>
        </w:tc>
        <w:tc>
          <w:tcPr>
            <w:tcW w:w="8918" w:type="dxa"/>
            <w:gridSpan w:val="3"/>
            <w:vAlign w:val="top"/>
          </w:tcPr>
          <w:p>
            <w:pPr>
              <w:ind w:firstLine="1"/>
              <w:rPr>
                <w:color w:val="auto"/>
              </w:rPr>
            </w:pPr>
            <w:r>
              <w:rPr>
                <w:color w:val="auto"/>
              </w:rPr>
              <w:t>Reģistrēts Latvijas Republikas Elektroenerģijas tirdzniecības Sabiedrisko pakalpojumu regulēšanas komisijas Elektroenerģijas tirgotāju reģistrā ar reģistrācijas numuru: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7.</w:t>
            </w:r>
          </w:p>
        </w:tc>
        <w:tc>
          <w:tcPr>
            <w:tcW w:w="8918" w:type="dxa"/>
            <w:gridSpan w:val="3"/>
            <w:vAlign w:val="top"/>
          </w:tcPr>
          <w:p>
            <w:pPr>
              <w:ind w:firstLine="1"/>
              <w:rPr>
                <w:color w:val="auto"/>
              </w:rPr>
            </w:pPr>
            <w:r>
              <w:rPr>
                <w:color w:val="auto"/>
              </w:rPr>
              <w:t>Darbības sfēra (īss apraksts):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8.</w:t>
            </w:r>
          </w:p>
        </w:tc>
        <w:tc>
          <w:tcPr>
            <w:tcW w:w="8918" w:type="dxa"/>
            <w:gridSpan w:val="3"/>
            <w:vAlign w:val="top"/>
          </w:tcPr>
          <w:p>
            <w:pPr>
              <w:ind w:firstLine="1"/>
              <w:rPr>
                <w:color w:val="auto"/>
              </w:rPr>
            </w:pPr>
            <w:r>
              <w:rPr>
                <w:color w:val="auto"/>
              </w:rPr>
              <w:t>Finanšu rekvizīti: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Height w:val="254" w:hRule="atLeast"/>
        </w:trPr>
        <w:tc>
          <w:tcPr>
            <w:tcW w:w="6777" w:type="dxa"/>
            <w:gridSpan w:val="3"/>
            <w:vAlign w:val="top"/>
          </w:tcPr>
          <w:p>
            <w:pPr>
              <w:rPr>
                <w:color w:val="auto"/>
              </w:rPr>
            </w:pPr>
            <w:r>
              <w:rPr>
                <w:color w:val="auto"/>
              </w:rPr>
              <w:t>8.1. Kredītiestādes nosaukums:</w:t>
            </w:r>
          </w:p>
        </w:tc>
        <w:tc>
          <w:tcPr>
            <w:tcW w:w="2718" w:type="dxa"/>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6777" w:type="dxa"/>
            <w:gridSpan w:val="3"/>
            <w:vAlign w:val="top"/>
          </w:tcPr>
          <w:p>
            <w:pPr>
              <w:ind w:left="426" w:hanging="426"/>
              <w:rPr>
                <w:color w:val="auto"/>
              </w:rPr>
            </w:pPr>
            <w:r>
              <w:rPr>
                <w:color w:val="auto"/>
              </w:rPr>
              <w:t>8.2. Kredītiestādes adrese (tai skaitā pilsēta, valsts, pasta indekss):</w:t>
            </w:r>
          </w:p>
        </w:tc>
        <w:tc>
          <w:tcPr>
            <w:tcW w:w="2718" w:type="dxa"/>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6777" w:type="dxa"/>
            <w:gridSpan w:val="3"/>
            <w:vAlign w:val="top"/>
          </w:tcPr>
          <w:p>
            <w:pPr>
              <w:rPr>
                <w:color w:val="auto"/>
              </w:rPr>
            </w:pPr>
            <w:r>
              <w:rPr>
                <w:color w:val="auto"/>
              </w:rPr>
              <w:t>8.3. Kredītiestādes kods:</w:t>
            </w:r>
          </w:p>
        </w:tc>
        <w:tc>
          <w:tcPr>
            <w:tcW w:w="2718" w:type="dxa"/>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6777" w:type="dxa"/>
            <w:gridSpan w:val="3"/>
            <w:vAlign w:val="top"/>
          </w:tcPr>
          <w:p>
            <w:pPr>
              <w:rPr>
                <w:color w:val="auto"/>
              </w:rPr>
            </w:pPr>
            <w:r>
              <w:rPr>
                <w:color w:val="auto"/>
              </w:rPr>
              <w:t>8.4. Konta numurs:</w:t>
            </w:r>
          </w:p>
        </w:tc>
        <w:tc>
          <w:tcPr>
            <w:tcW w:w="2718" w:type="dxa"/>
            <w:vAlign w:val="top"/>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9.</w:t>
            </w:r>
          </w:p>
        </w:tc>
        <w:tc>
          <w:tcPr>
            <w:tcW w:w="8918" w:type="dxa"/>
            <w:gridSpan w:val="3"/>
            <w:vAlign w:val="top"/>
          </w:tcPr>
          <w:p>
            <w:pPr>
              <w:ind w:firstLine="1"/>
              <w:rPr>
                <w:color w:val="auto"/>
              </w:rPr>
            </w:pPr>
            <w:r>
              <w:rPr>
                <w:color w:val="auto"/>
              </w:rPr>
              <w:t>Kontaktpersona: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10.</w:t>
            </w:r>
          </w:p>
        </w:tc>
        <w:tc>
          <w:tcPr>
            <w:tcW w:w="8918" w:type="dxa"/>
            <w:gridSpan w:val="3"/>
            <w:vAlign w:val="top"/>
          </w:tcPr>
          <w:p>
            <w:pPr>
              <w:ind w:firstLine="1"/>
              <w:rPr>
                <w:color w:val="auto"/>
              </w:rPr>
            </w:pPr>
            <w:r>
              <w:rPr>
                <w:color w:val="auto"/>
              </w:rPr>
              <w:t>Telefons: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11.</w:t>
            </w:r>
          </w:p>
        </w:tc>
        <w:tc>
          <w:tcPr>
            <w:tcW w:w="8918" w:type="dxa"/>
            <w:gridSpan w:val="3"/>
            <w:vAlign w:val="top"/>
          </w:tcPr>
          <w:p>
            <w:pPr>
              <w:ind w:firstLine="1"/>
              <w:rPr>
                <w:color w:val="auto"/>
              </w:rPr>
            </w:pPr>
            <w:r>
              <w:rPr>
                <w:color w:val="auto"/>
              </w:rPr>
              <w:t>Fax: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153" w:type="dxa"/>
        </w:trPr>
        <w:tc>
          <w:tcPr>
            <w:tcW w:w="577" w:type="dxa"/>
            <w:vAlign w:val="top"/>
          </w:tcPr>
          <w:p>
            <w:pPr>
              <w:rPr>
                <w:color w:val="auto"/>
              </w:rPr>
            </w:pPr>
            <w:r>
              <w:rPr>
                <w:color w:val="auto"/>
              </w:rPr>
              <w:t>12.</w:t>
            </w:r>
          </w:p>
        </w:tc>
        <w:tc>
          <w:tcPr>
            <w:tcW w:w="8918" w:type="dxa"/>
            <w:gridSpan w:val="3"/>
            <w:vAlign w:val="top"/>
          </w:tcPr>
          <w:p>
            <w:pPr>
              <w:ind w:firstLine="1"/>
              <w:rPr>
                <w:color w:val="auto"/>
              </w:rPr>
            </w:pPr>
            <w:r>
              <w:rPr>
                <w:color w:val="auto"/>
              </w:rPr>
              <w:t>E – pasta adrese: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c>
          <w:tcPr>
            <w:tcW w:w="3121" w:type="dxa"/>
            <w:gridSpan w:val="2"/>
            <w:vAlign w:val="top"/>
          </w:tcPr>
          <w:p>
            <w:pPr>
              <w:rPr>
                <w:color w:val="auto"/>
              </w:rPr>
            </w:pPr>
            <w:r>
              <w:rPr>
                <w:color w:val="auto"/>
              </w:rPr>
              <w:t xml:space="preserve">Pilnvarotās personas vārds, </w:t>
            </w:r>
          </w:p>
          <w:p>
            <w:pPr>
              <w:rPr>
                <w:color w:val="auto"/>
              </w:rPr>
            </w:pPr>
            <w:r>
              <w:rPr>
                <w:color w:val="auto"/>
              </w:rPr>
              <w:t>uzvārds, amats:</w:t>
            </w:r>
          </w:p>
        </w:tc>
        <w:tc>
          <w:tcPr>
            <w:tcW w:w="6527" w:type="dxa"/>
            <w:gridSpan w:val="3"/>
            <w:tcBorders>
              <w:top w:val="nil"/>
              <w:left w:val="nil"/>
              <w:bottom w:val="dotted" w:color="auto" w:sz="4" w:space="0"/>
              <w:right w:val="nil"/>
            </w:tcBorders>
            <w:vAlign w:val="top"/>
          </w:tcPr>
          <w:p>
            <w:pPr>
              <w:rPr>
                <w:color w:val="auto"/>
              </w:rPr>
            </w:pPr>
          </w:p>
        </w:tc>
      </w:tr>
    </w:tbl>
    <w:p>
      <w:pPr>
        <w:spacing w:before="120" w:after="120"/>
        <w:jc w:val="both"/>
        <w:rPr>
          <w:color w:val="auto"/>
        </w:rPr>
      </w:pPr>
      <w:r>
        <w:rPr>
          <w:b/>
          <w:color w:val="auto"/>
        </w:rPr>
        <w:t>Informāciju</w:t>
      </w:r>
      <w:r>
        <w:rPr>
          <w:color w:val="auto"/>
        </w:rPr>
        <w:t xml:space="preserve"> par pretendenta uzņēmuma atbilstību maza* vai vidēja** uzņēmuma statusam.</w:t>
      </w:r>
    </w:p>
    <w:p>
      <w:pPr>
        <w:spacing w:before="120" w:after="120"/>
        <w:ind w:left="567"/>
        <w:jc w:val="both"/>
        <w:rPr>
          <w:color w:val="auto"/>
        </w:rPr>
      </w:pPr>
      <w:r>
        <w:rPr>
          <w:color w:val="auto"/>
        </w:rPr>
        <w:t xml:space="preserve">Pretendents </w:t>
      </w:r>
      <w:r>
        <w:rPr>
          <w:i/>
          <w:color w:val="auto"/>
        </w:rPr>
        <w:t>/nosaukums/</w:t>
      </w:r>
      <w:r>
        <w:rPr>
          <w:color w:val="auto"/>
        </w:rPr>
        <w:t xml:space="preserve"> ir ___________________ </w:t>
      </w:r>
      <w:r>
        <w:rPr>
          <w:i/>
          <w:color w:val="auto"/>
        </w:rPr>
        <w:t>/jānorāda mazais* vai vidējais**/</w:t>
      </w:r>
      <w:r>
        <w:rPr>
          <w:color w:val="auto"/>
        </w:rPr>
        <w:t xml:space="preserve"> uzņēmums.</w:t>
      </w:r>
    </w:p>
    <w:p>
      <w:pPr>
        <w:spacing w:before="120" w:after="120"/>
        <w:ind w:left="567"/>
        <w:jc w:val="both"/>
        <w:rPr>
          <w:color w:val="auto"/>
        </w:rPr>
      </w:pPr>
      <w:r>
        <w:rPr>
          <w:color w:val="auto"/>
        </w:rPr>
        <w:t xml:space="preserve">Pretendenta piesaistītais apakšuzņēmējs </w:t>
      </w:r>
      <w:r>
        <w:rPr>
          <w:i/>
          <w:color w:val="auto"/>
        </w:rPr>
        <w:t xml:space="preserve">/nosaukums/ </w:t>
      </w:r>
      <w:r>
        <w:rPr>
          <w:color w:val="auto"/>
        </w:rPr>
        <w:t xml:space="preserve">ir _________________ </w:t>
      </w:r>
      <w:r>
        <w:rPr>
          <w:i/>
          <w:color w:val="auto"/>
        </w:rPr>
        <w:t xml:space="preserve">/jānorāda mazais vai vidējais/ </w:t>
      </w:r>
      <w:r>
        <w:rPr>
          <w:color w:val="auto"/>
        </w:rPr>
        <w:t>uzņēmums.</w:t>
      </w:r>
    </w:p>
    <w:p>
      <w:pPr>
        <w:spacing w:before="120" w:after="120"/>
        <w:jc w:val="both"/>
        <w:rPr>
          <w:color w:val="auto"/>
        </w:rPr>
      </w:pPr>
      <w:r>
        <w:rPr>
          <w:b/>
          <w:color w:val="auto"/>
        </w:rPr>
        <w:t>*Mazais uzņēmums</w:t>
      </w:r>
      <w:r>
        <w:rPr>
          <w:color w:val="auto"/>
        </w:rPr>
        <w:t>, kurā nodarbinātas mazāk nekā 50 personas un kura gada apgrozījums un/vai gada bilance kopā nepārsniedz 10 miljonus EUR.</w:t>
      </w:r>
    </w:p>
    <w:p>
      <w:pPr>
        <w:spacing w:before="120" w:after="120"/>
        <w:jc w:val="both"/>
        <w:rPr>
          <w:color w:val="auto"/>
        </w:rPr>
      </w:pPr>
      <w:r>
        <w:rPr>
          <w:b/>
          <w:color w:val="auto"/>
        </w:rPr>
        <w:t>**Vidējais uzņēmums</w:t>
      </w:r>
      <w:r>
        <w:rPr>
          <w:color w:val="auto"/>
        </w:rPr>
        <w:t>, kas nav mazais uzņēmums, un kurā nodarbinātas mazāk nekā 250 personas un kura gada apgrozījums nepārsniedz 50 miljonus EUR un/vai, kura gada bilance kopā nepārsniedz 43 miljonus EUR.</w:t>
      </w:r>
    </w:p>
    <w:p>
      <w:pPr>
        <w:jc w:val="both"/>
        <w:rPr>
          <w:color w:val="auto"/>
        </w:rPr>
      </w:pPr>
    </w:p>
    <w:tbl>
      <w:tblPr>
        <w:tblW w:w="1003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6345"/>
        <w:gridCol w:w="36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c>
          <w:tcPr>
            <w:tcW w:w="6345" w:type="dxa"/>
            <w:vAlign w:val="top"/>
          </w:tcPr>
          <w:p>
            <w:pPr>
              <w:rPr>
                <w:color w:val="auto"/>
              </w:rPr>
            </w:pPr>
            <w:r>
              <w:rPr>
                <w:color w:val="auto"/>
              </w:rPr>
              <w:t xml:space="preserve">Pretendenta vai tā pilnvarotās personas                      </w:t>
            </w:r>
          </w:p>
          <w:p>
            <w:pPr>
              <w:rPr>
                <w:color w:val="auto"/>
              </w:rPr>
            </w:pPr>
            <w:r>
              <w:rPr>
                <w:color w:val="auto"/>
              </w:rPr>
              <w:t>vārds, uzvārds, amats:</w:t>
            </w:r>
          </w:p>
        </w:tc>
        <w:tc>
          <w:tcPr>
            <w:tcW w:w="3686" w:type="dxa"/>
            <w:tcBorders>
              <w:top w:val="nil"/>
              <w:left w:val="nil"/>
              <w:bottom w:val="dotted" w:color="auto" w:sz="4" w:space="0"/>
              <w:right w:val="nil"/>
            </w:tcBorders>
            <w:vAlign w:val="top"/>
          </w:tcPr>
          <w:p>
            <w:pPr>
              <w:rPr>
                <w:color w:val="auto"/>
              </w:rPr>
            </w:pPr>
          </w:p>
        </w:tc>
      </w:tr>
    </w:tbl>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 xml:space="preserve">Nolikuma pielikums Nr.2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20/6</w:t>
      </w:r>
    </w:p>
    <w:p>
      <w:pPr>
        <w:suppressAutoHyphens/>
        <w:spacing w:after="0" w:line="240" w:lineRule="auto"/>
        <w:ind w:right="-49"/>
        <w:jc w:val="both"/>
        <w:rPr>
          <w:rFonts w:eastAsia="Times New Roman" w:cs="Times New Roman"/>
          <w:color w:val="auto"/>
          <w:sz w:val="20"/>
          <w:szCs w:val="20"/>
          <w:highlight w:val="yellow"/>
          <w:lang w:eastAsia="ar-SA"/>
        </w:rPr>
      </w:pPr>
    </w:p>
    <w:p>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center"/>
        <w:rPr>
          <w:b/>
          <w:color w:val="auto"/>
        </w:rPr>
      </w:pPr>
      <w:r>
        <w:rPr>
          <w:b/>
          <w:color w:val="auto"/>
        </w:rPr>
        <w:t>FINANŠU PIEDĀVĀJUMS</w:t>
      </w:r>
    </w:p>
    <w:p>
      <w:pPr>
        <w:spacing w:after="0" w:line="240" w:lineRule="auto"/>
        <w:jc w:val="center"/>
        <w:rPr>
          <w:rFonts w:eastAsia="Times New Roman" w:cs="Times New Roman"/>
          <w:color w:val="auto"/>
          <w:szCs w:val="24"/>
        </w:rPr>
      </w:pPr>
      <w:r>
        <w:rPr>
          <w:rFonts w:eastAsia="Times New Roman" w:cs="Times New Roman"/>
          <w:color w:val="auto"/>
          <w:szCs w:val="24"/>
        </w:rPr>
        <w:t>SIA “DOBELES NAMSAIMNIEKS” izsludinātajā iepirkumā</w:t>
      </w:r>
    </w:p>
    <w:p>
      <w:pPr>
        <w:jc w:val="center"/>
        <w:rPr>
          <w:rFonts w:eastAsia="Calibri" w:cs="Calibri"/>
          <w:b/>
          <w:color w:val="auto"/>
        </w:rPr>
      </w:pPr>
      <w:r>
        <w:rPr>
          <w:rFonts w:eastAsia="Calibri" w:cs="Calibri"/>
          <w:b/>
          <w:color w:val="auto"/>
        </w:rPr>
        <w:t>“</w:t>
      </w:r>
      <w:r>
        <w:rPr>
          <w:b/>
          <w:bCs/>
          <w:color w:val="auto"/>
        </w:rPr>
        <w:t>Elektroapgādes sistēmu mērījumi SIA “DOBELES NAMSAIMNIEKS” apsaimniekojamos objektos</w:t>
      </w:r>
      <w:r>
        <w:rPr>
          <w:rFonts w:eastAsia="Calibri" w:cs="Calibri"/>
          <w:b/>
          <w:color w:val="auto"/>
        </w:rPr>
        <w:t>”</w:t>
      </w:r>
    </w:p>
    <w:p>
      <w:pPr>
        <w:spacing w:after="0" w:line="240" w:lineRule="auto"/>
        <w:jc w:val="center"/>
        <w:rPr>
          <w:rFonts w:eastAsia="Times New Roman" w:cs="Times New Roman"/>
          <w:color w:val="auto"/>
          <w:szCs w:val="24"/>
        </w:rPr>
      </w:pPr>
      <w:r>
        <w:rPr>
          <w:rFonts w:eastAsia="Times New Roman" w:cs="Times New Roman"/>
          <w:color w:val="auto"/>
          <w:szCs w:val="24"/>
        </w:rPr>
        <w:t>identifikācijas numurs</w:t>
      </w:r>
      <w:r>
        <w:rPr>
          <w:rFonts w:hint="default" w:eastAsia="Times New Roman" w:cs="Times New Roman"/>
          <w:color w:val="auto"/>
          <w:szCs w:val="24"/>
        </w:rPr>
        <w:t>:</w:t>
      </w:r>
      <w:r>
        <w:rPr>
          <w:rFonts w:eastAsia="Times New Roman" w:cs="Times New Roman"/>
          <w:color w:val="auto"/>
          <w:szCs w:val="24"/>
        </w:rPr>
        <w:t xml:space="preserve"> SIA DN 20</w:t>
      </w:r>
      <w:r>
        <w:rPr>
          <w:rFonts w:hint="default" w:eastAsia="Times New Roman" w:cs="Times New Roman"/>
          <w:color w:val="auto"/>
          <w:szCs w:val="24"/>
        </w:rPr>
        <w:t>20</w:t>
      </w:r>
      <w:r>
        <w:rPr>
          <w:rFonts w:eastAsia="Times New Roman" w:cs="Times New Roman"/>
          <w:color w:val="auto"/>
          <w:szCs w:val="24"/>
        </w:rPr>
        <w:t>/</w:t>
      </w:r>
      <w:r>
        <w:rPr>
          <w:rFonts w:hint="default" w:eastAsia="Times New Roman" w:cs="Times New Roman"/>
          <w:color w:val="auto"/>
          <w:szCs w:val="24"/>
        </w:rPr>
        <w:t>6</w:t>
      </w:r>
    </w:p>
    <w:p>
      <w:pPr>
        <w:ind w:left="360"/>
        <w:jc w:val="center"/>
        <w:rPr>
          <w:color w:val="auto"/>
        </w:rPr>
      </w:pPr>
    </w:p>
    <w:tbl>
      <w:tblPr>
        <w:tblW w:w="9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3828"/>
        <w:gridCol w:w="5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Pretendents</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Adrese</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Komersanta reģistrācijas Nr.</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 xml:space="preserve">Fakss vai E-pasts </w:t>
            </w:r>
            <w:r>
              <w:rPr>
                <w:rFonts w:ascii="Times New Roman" w:hAnsi="Times New Roman" w:cs="Times New Roman"/>
                <w:i/>
                <w:color w:val="auto"/>
                <w:sz w:val="22"/>
                <w:szCs w:val="22"/>
                <w:u w:val="single"/>
              </w:rPr>
              <w:t xml:space="preserve">(jānorāda precīzs un pareizs, uz kuru iespējams nosūtīt informāciju un paziņojumu par iepirkuma procedūras rezultātiem) </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snapToGrid w:val="0"/>
              <w:rPr>
                <w:color w:val="auto"/>
                <w:sz w:val="22"/>
                <w:szCs w:val="22"/>
              </w:rPr>
            </w:pPr>
            <w:r>
              <w:rPr>
                <w:color w:val="auto"/>
                <w:sz w:val="22"/>
                <w:szCs w:val="22"/>
              </w:rPr>
              <w:t>Pretendenta kontaktpersona</w:t>
            </w:r>
          </w:p>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(vārds, uzvārds, amats, telefons)</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3828"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Citi uzņēmēji</w:t>
            </w:r>
          </w:p>
          <w:p>
            <w:pPr>
              <w:pStyle w:val="10"/>
              <w:ind w:left="0"/>
              <w:rPr>
                <w:rFonts w:ascii="Times New Roman" w:hAnsi="Times New Roman" w:cs="Times New Roman"/>
                <w:color w:val="auto"/>
                <w:sz w:val="22"/>
                <w:szCs w:val="22"/>
              </w:rPr>
            </w:pPr>
            <w:r>
              <w:rPr>
                <w:rFonts w:ascii="Times New Roman" w:hAnsi="Times New Roman" w:cs="Times New Roman"/>
                <w:color w:val="auto"/>
                <w:sz w:val="22"/>
                <w:szCs w:val="22"/>
              </w:rPr>
              <w:t>(uz kuru iespējām konkrētā līguma izpildei balstās Pretendents, saskaņā ar nolikuma noteikumiem)</w:t>
            </w:r>
          </w:p>
        </w:tc>
        <w:tc>
          <w:tcPr>
            <w:tcW w:w="5520" w:type="dxa"/>
            <w:tcBorders>
              <w:top w:val="single" w:color="auto" w:sz="4" w:space="0"/>
              <w:left w:val="single" w:color="auto" w:sz="4" w:space="0"/>
              <w:bottom w:val="single" w:color="auto" w:sz="4" w:space="0"/>
              <w:right w:val="single" w:color="auto" w:sz="4" w:space="0"/>
            </w:tcBorders>
            <w:vAlign w:val="top"/>
          </w:tcPr>
          <w:p>
            <w:pPr>
              <w:pStyle w:val="10"/>
              <w:ind w:left="0"/>
              <w:rPr>
                <w:rFonts w:ascii="Times New Roman" w:hAnsi="Times New Roman" w:cs="Times New Roman"/>
                <w:color w:val="auto"/>
                <w:sz w:val="22"/>
                <w:szCs w:val="22"/>
              </w:rPr>
            </w:pPr>
          </w:p>
        </w:tc>
      </w:tr>
    </w:tbl>
    <w:p>
      <w:pPr>
        <w:widowControl w:val="0"/>
        <w:tabs>
          <w:tab w:val="left" w:pos="120"/>
          <w:tab w:val="left" w:pos="240"/>
        </w:tabs>
        <w:suppressAutoHyphens/>
        <w:jc w:val="both"/>
        <w:rPr>
          <w:color w:val="auto"/>
        </w:rPr>
      </w:pPr>
    </w:p>
    <w:p>
      <w:pPr>
        <w:jc w:val="both"/>
        <w:rPr>
          <w:color w:val="auto"/>
        </w:rPr>
      </w:pPr>
      <w:r>
        <w:rPr>
          <w:color w:val="auto"/>
        </w:rPr>
        <w:t>Saskaņā ar iepirkuma nolikumu, apakšā parakstījies apliecinu, ka:</w:t>
      </w:r>
    </w:p>
    <w:p>
      <w:pPr>
        <w:numPr>
          <w:ilvl w:val="0"/>
          <w:numId w:val="29"/>
        </w:numPr>
        <w:tabs>
          <w:tab w:val="left" w:pos="360"/>
          <w:tab w:val="left" w:pos="600"/>
        </w:tabs>
        <w:ind w:left="0" w:firstLine="0"/>
        <w:jc w:val="both"/>
        <w:rPr>
          <w:color w:val="auto"/>
        </w:rPr>
      </w:pPr>
      <w:r>
        <w:rPr>
          <w:i/>
          <w:color w:val="auto"/>
          <w:u w:val="single"/>
        </w:rPr>
        <w:t>&lt;Pretendents&gt;</w:t>
      </w:r>
      <w:r>
        <w:rPr>
          <w:color w:val="auto"/>
        </w:rPr>
        <w:t xml:space="preserve"> piekrīt iepirkuma nolikuma prasībām, tai skaitā tehniskajai specifikācijai, un garantē nolikuma prasību izpildi. Nolikuma noteikumi ir skaidri un saprotami.</w:t>
      </w:r>
    </w:p>
    <w:p>
      <w:pPr>
        <w:jc w:val="both"/>
        <w:rPr>
          <w:rFonts w:eastAsia="Calibri" w:cs="Calibri"/>
          <w:b/>
          <w:color w:val="auto"/>
        </w:rPr>
      </w:pPr>
      <w:r>
        <w:rPr>
          <w:color w:val="auto"/>
          <w:u w:val="single"/>
        </w:rPr>
        <w:t>&lt; Pretendents &gt;</w:t>
      </w:r>
      <w:r>
        <w:rPr>
          <w:color w:val="auto"/>
        </w:rPr>
        <w:t xml:space="preserve"> apņemas veikt iepirkuma </w:t>
      </w:r>
      <w:r>
        <w:rPr>
          <w:rFonts w:eastAsia="Calibri" w:cs="Calibri"/>
          <w:b/>
          <w:color w:val="auto"/>
        </w:rPr>
        <w:t>“</w:t>
      </w:r>
      <w:r>
        <w:rPr>
          <w:b/>
          <w:bCs/>
          <w:color w:val="auto"/>
        </w:rPr>
        <w:t>Elektroapgādes sistēmu mērījumi SIA “DOBELES NAMSAIMNIEKS” apsaimniekojamos objektos</w:t>
      </w:r>
      <w:r>
        <w:rPr>
          <w:rFonts w:eastAsia="Calibri" w:cs="Calibri"/>
          <w:b/>
          <w:color w:val="auto"/>
        </w:rPr>
        <w:t xml:space="preserve">” </w:t>
      </w:r>
      <w:r>
        <w:rPr>
          <w:color w:val="auto"/>
        </w:rPr>
        <w:t>identifikācijas Nr. SIA DN 20</w:t>
      </w:r>
      <w:r>
        <w:rPr>
          <w:rFonts w:hint="default"/>
          <w:color w:val="auto"/>
        </w:rPr>
        <w:t>20</w:t>
      </w:r>
      <w:r>
        <w:rPr>
          <w:color w:val="auto"/>
        </w:rPr>
        <w:t>/</w:t>
      </w:r>
      <w:r>
        <w:rPr>
          <w:rFonts w:hint="default"/>
          <w:color w:val="auto"/>
        </w:rPr>
        <w:t>6</w:t>
      </w:r>
      <w:r>
        <w:rPr>
          <w:color w:val="auto"/>
        </w:rPr>
        <w:t xml:space="preserve">, par kopējo cenu: </w:t>
      </w:r>
    </w:p>
    <w:p>
      <w:pPr>
        <w:tabs>
          <w:tab w:val="left" w:pos="600"/>
        </w:tabs>
        <w:jc w:val="both"/>
        <w:rPr>
          <w:color w:val="auto"/>
        </w:rPr>
      </w:pP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6658"/>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6658" w:type="dxa"/>
            <w:tcBorders>
              <w:top w:val="single" w:color="auto" w:sz="4" w:space="0"/>
              <w:left w:val="single" w:color="auto" w:sz="4" w:space="0"/>
              <w:bottom w:val="single" w:color="auto" w:sz="4" w:space="0"/>
              <w:right w:val="single" w:color="auto" w:sz="4" w:space="0"/>
            </w:tcBorders>
            <w:vAlign w:val="top"/>
          </w:tcPr>
          <w:p>
            <w:pPr>
              <w:tabs>
                <w:tab w:val="left" w:pos="600"/>
              </w:tabs>
              <w:jc w:val="center"/>
              <w:rPr>
                <w:b/>
                <w:color w:val="auto"/>
              </w:rPr>
            </w:pPr>
            <w:r>
              <w:rPr>
                <w:b/>
                <w:color w:val="auto"/>
              </w:rPr>
              <w:t>Darbi</w:t>
            </w:r>
          </w:p>
        </w:tc>
        <w:tc>
          <w:tcPr>
            <w:tcW w:w="2409" w:type="dxa"/>
            <w:tcBorders>
              <w:top w:val="single" w:color="auto" w:sz="4" w:space="0"/>
              <w:left w:val="single" w:color="auto" w:sz="4" w:space="0"/>
              <w:bottom w:val="single" w:color="auto" w:sz="4" w:space="0"/>
              <w:right w:val="single" w:color="auto" w:sz="4" w:space="0"/>
            </w:tcBorders>
            <w:vAlign w:val="top"/>
          </w:tcPr>
          <w:p>
            <w:pPr>
              <w:tabs>
                <w:tab w:val="left" w:pos="600"/>
              </w:tabs>
              <w:jc w:val="center"/>
              <w:rPr>
                <w:b/>
                <w:color w:val="auto"/>
              </w:rPr>
            </w:pPr>
            <w:r>
              <w:rPr>
                <w:b/>
                <w:color w:val="auto"/>
              </w:rPr>
              <w:t xml:space="preserve">Piedāvātā līgumcena </w:t>
            </w:r>
          </w:p>
          <w:p>
            <w:pPr>
              <w:tabs>
                <w:tab w:val="left" w:pos="600"/>
              </w:tabs>
              <w:jc w:val="center"/>
              <w:rPr>
                <w:b/>
                <w:color w:val="auto"/>
              </w:rPr>
            </w:pPr>
            <w:r>
              <w:rPr>
                <w:b/>
                <w:i/>
                <w:color w:val="auto"/>
              </w:rPr>
              <w:t>euro</w:t>
            </w:r>
            <w:r>
              <w:rPr>
                <w:b/>
                <w:color w:val="auto"/>
              </w:rPr>
              <w:t xml:space="preserve"> (bez PVN)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6658" w:type="dxa"/>
            <w:tcBorders>
              <w:top w:val="single" w:color="auto" w:sz="4" w:space="0"/>
              <w:left w:val="single" w:color="auto" w:sz="4" w:space="0"/>
              <w:bottom w:val="single" w:color="auto" w:sz="4" w:space="0"/>
              <w:right w:val="single" w:color="auto" w:sz="4" w:space="0"/>
            </w:tcBorders>
            <w:vAlign w:val="top"/>
          </w:tcPr>
          <w:p>
            <w:pPr>
              <w:jc w:val="both"/>
              <w:rPr>
                <w:color w:val="auto"/>
              </w:rPr>
            </w:pPr>
          </w:p>
        </w:tc>
        <w:tc>
          <w:tcPr>
            <w:tcW w:w="2409" w:type="dxa"/>
            <w:tcBorders>
              <w:top w:val="single" w:color="auto" w:sz="4" w:space="0"/>
              <w:left w:val="single" w:color="auto" w:sz="4" w:space="0"/>
              <w:bottom w:val="single" w:color="auto" w:sz="4" w:space="0"/>
              <w:right w:val="single" w:color="auto" w:sz="4" w:space="0"/>
            </w:tcBorders>
            <w:vAlign w:val="top"/>
          </w:tcPr>
          <w:p>
            <w:pPr>
              <w:tabs>
                <w:tab w:val="left" w:pos="600"/>
              </w:tabs>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6658" w:type="dxa"/>
            <w:tcBorders>
              <w:top w:val="single" w:color="auto" w:sz="4" w:space="0"/>
              <w:left w:val="single" w:color="auto" w:sz="4" w:space="0"/>
              <w:bottom w:val="single" w:color="auto" w:sz="4" w:space="0"/>
              <w:right w:val="single" w:color="auto" w:sz="4" w:space="0"/>
            </w:tcBorders>
            <w:vAlign w:val="top"/>
          </w:tcPr>
          <w:p>
            <w:pPr>
              <w:jc w:val="right"/>
              <w:rPr>
                <w:b/>
                <w:color w:val="auto"/>
              </w:rPr>
            </w:pPr>
            <w:r>
              <w:rPr>
                <w:b/>
                <w:color w:val="auto"/>
              </w:rPr>
              <w:t>KOPĀ EUR, bez PVN</w:t>
            </w:r>
          </w:p>
        </w:tc>
        <w:tc>
          <w:tcPr>
            <w:tcW w:w="2409" w:type="dxa"/>
            <w:tcBorders>
              <w:top w:val="single" w:color="auto" w:sz="4" w:space="0"/>
              <w:left w:val="single" w:color="auto" w:sz="4" w:space="0"/>
              <w:bottom w:val="single" w:color="auto" w:sz="4" w:space="0"/>
              <w:right w:val="single" w:color="auto" w:sz="4" w:space="0"/>
            </w:tcBorders>
            <w:vAlign w:val="top"/>
          </w:tcPr>
          <w:p>
            <w:pPr>
              <w:tabs>
                <w:tab w:val="left" w:pos="600"/>
              </w:tabs>
              <w:rPr>
                <w:b/>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6658" w:type="dxa"/>
            <w:tcBorders>
              <w:top w:val="single" w:color="auto" w:sz="4" w:space="0"/>
              <w:left w:val="single" w:color="auto" w:sz="4" w:space="0"/>
              <w:bottom w:val="single" w:color="auto" w:sz="4" w:space="0"/>
              <w:right w:val="single" w:color="auto" w:sz="4" w:space="0"/>
            </w:tcBorders>
            <w:vAlign w:val="top"/>
          </w:tcPr>
          <w:p>
            <w:pPr>
              <w:jc w:val="right"/>
              <w:rPr>
                <w:b/>
                <w:color w:val="auto"/>
              </w:rPr>
            </w:pPr>
            <w:r>
              <w:rPr>
                <w:b/>
                <w:color w:val="auto"/>
              </w:rPr>
              <w:t>PVN, EUR</w:t>
            </w:r>
          </w:p>
        </w:tc>
        <w:tc>
          <w:tcPr>
            <w:tcW w:w="2409" w:type="dxa"/>
            <w:tcBorders>
              <w:top w:val="single" w:color="auto" w:sz="4" w:space="0"/>
              <w:left w:val="single" w:color="auto" w:sz="4" w:space="0"/>
              <w:bottom w:val="single" w:color="auto" w:sz="4" w:space="0"/>
              <w:right w:val="single" w:color="auto" w:sz="4" w:space="0"/>
            </w:tcBorders>
            <w:vAlign w:val="top"/>
          </w:tcPr>
          <w:p>
            <w:pPr>
              <w:tabs>
                <w:tab w:val="left" w:pos="600"/>
              </w:tabs>
              <w:jc w:val="right"/>
              <w:rPr>
                <w:b/>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6658" w:type="dxa"/>
            <w:tcBorders>
              <w:top w:val="single" w:color="auto" w:sz="4" w:space="0"/>
              <w:left w:val="single" w:color="auto" w:sz="4" w:space="0"/>
              <w:bottom w:val="single" w:color="auto" w:sz="4" w:space="0"/>
              <w:right w:val="single" w:color="auto" w:sz="4" w:space="0"/>
            </w:tcBorders>
            <w:vAlign w:val="top"/>
          </w:tcPr>
          <w:p>
            <w:pPr>
              <w:jc w:val="right"/>
              <w:rPr>
                <w:b/>
                <w:color w:val="auto"/>
              </w:rPr>
            </w:pPr>
            <w:r>
              <w:rPr>
                <w:b/>
                <w:color w:val="auto"/>
              </w:rPr>
              <w:t>Kopā piedāvātā līgumcena EUR, ar PVN</w:t>
            </w:r>
          </w:p>
        </w:tc>
        <w:tc>
          <w:tcPr>
            <w:tcW w:w="2409" w:type="dxa"/>
            <w:tcBorders>
              <w:top w:val="single" w:color="auto" w:sz="4" w:space="0"/>
              <w:left w:val="single" w:color="auto" w:sz="4" w:space="0"/>
              <w:bottom w:val="single" w:color="auto" w:sz="4" w:space="0"/>
              <w:right w:val="single" w:color="auto" w:sz="4" w:space="0"/>
            </w:tcBorders>
            <w:vAlign w:val="top"/>
          </w:tcPr>
          <w:p>
            <w:pPr>
              <w:tabs>
                <w:tab w:val="left" w:pos="600"/>
              </w:tabs>
              <w:jc w:val="right"/>
              <w:rPr>
                <w:b/>
                <w:color w:val="auto"/>
              </w:rPr>
            </w:pPr>
          </w:p>
        </w:tc>
      </w:tr>
    </w:tbl>
    <w:p>
      <w:pPr>
        <w:tabs>
          <w:tab w:val="left" w:pos="600"/>
        </w:tabs>
        <w:jc w:val="right"/>
        <w:rPr>
          <w:color w:val="auto"/>
        </w:rPr>
      </w:pPr>
    </w:p>
    <w:p>
      <w:pPr>
        <w:tabs>
          <w:tab w:val="left" w:pos="600"/>
        </w:tabs>
        <w:jc w:val="both"/>
        <w:rPr>
          <w:color w:val="auto"/>
        </w:rPr>
      </w:pPr>
      <w:r>
        <w:rPr>
          <w:color w:val="auto"/>
        </w:rPr>
        <w:t>Papildus pievienots izmaksu aprēķins uz ____lapām</w:t>
      </w:r>
    </w:p>
    <w:p>
      <w:pPr>
        <w:tabs>
          <w:tab w:val="left" w:pos="600"/>
        </w:tabs>
        <w:jc w:val="both"/>
        <w:rPr>
          <w:color w:val="auto"/>
        </w:rPr>
      </w:pPr>
    </w:p>
    <w:p>
      <w:pPr>
        <w:numPr>
          <w:ilvl w:val="0"/>
          <w:numId w:val="30"/>
        </w:numPr>
        <w:tabs>
          <w:tab w:val="left" w:pos="600"/>
        </w:tabs>
        <w:jc w:val="both"/>
        <w:rPr>
          <w:color w:val="auto"/>
        </w:rPr>
      </w:pPr>
      <w:r>
        <w:rPr>
          <w:color w:val="auto"/>
        </w:rPr>
        <w:t>Līguma izpildes termiņš: _____kalendāro dienu laikā no līguma parakstīšanas dienas, no 20</w:t>
      </w:r>
      <w:r>
        <w:rPr>
          <w:rFonts w:hint="default"/>
          <w:color w:val="auto"/>
        </w:rPr>
        <w:t>20</w:t>
      </w:r>
      <w:r>
        <w:rPr>
          <w:color w:val="auto"/>
        </w:rPr>
        <w:t>.gada ___. ____________līdz 20</w:t>
      </w:r>
      <w:r>
        <w:rPr>
          <w:rFonts w:hint="default"/>
          <w:color w:val="auto"/>
        </w:rPr>
        <w:t>20</w:t>
      </w:r>
      <w:r>
        <w:rPr>
          <w:color w:val="auto"/>
        </w:rPr>
        <w:t>.gada ____.______________. Pielikumā pievienots darbu izpildes grafiks ____lpp.</w:t>
      </w:r>
    </w:p>
    <w:p>
      <w:pPr>
        <w:numPr>
          <w:ilvl w:val="0"/>
          <w:numId w:val="30"/>
        </w:numPr>
        <w:tabs>
          <w:tab w:val="left" w:pos="600"/>
        </w:tabs>
        <w:jc w:val="both"/>
        <w:rPr>
          <w:color w:val="auto"/>
        </w:rPr>
      </w:pPr>
      <w:r>
        <w:rPr>
          <w:color w:val="auto"/>
          <w:u w:val="single"/>
        </w:rPr>
        <w:t xml:space="preserve">&lt;Pretendents&gt; </w:t>
      </w:r>
      <w:r>
        <w:rPr>
          <w:color w:val="auto"/>
        </w:rPr>
        <w:t>apņemas iepirkuma piešķiršanas gadījumā pildīt visus nolikumā noteiktos nosacījumus un strādāt pie kvalitatīvas līguma izpildes.</w:t>
      </w:r>
    </w:p>
    <w:p>
      <w:pPr>
        <w:numPr>
          <w:ilvl w:val="0"/>
          <w:numId w:val="30"/>
        </w:numPr>
        <w:tabs>
          <w:tab w:val="left" w:pos="600"/>
        </w:tabs>
        <w:jc w:val="both"/>
        <w:rPr>
          <w:color w:val="auto"/>
        </w:rPr>
      </w:pPr>
      <w:r>
        <w:rPr>
          <w:color w:val="auto"/>
        </w:rPr>
        <w:t>Apliecinām, ka iesniegtās ziņas ir pilnīgas un patiesas</w:t>
      </w:r>
    </w:p>
    <w:p>
      <w:pPr>
        <w:numPr>
          <w:ilvl w:val="0"/>
          <w:numId w:val="30"/>
        </w:numPr>
        <w:tabs>
          <w:tab w:val="left" w:pos="600"/>
        </w:tabs>
        <w:jc w:val="both"/>
        <w:rPr>
          <w:color w:val="auto"/>
        </w:rPr>
      </w:pPr>
      <w:r>
        <w:rPr>
          <w:color w:val="auto"/>
        </w:rPr>
        <w:t>Iesniedzot šo pieteikumu, apzināmies un pilnībā uzņemamies visus riskus un atbildību par iesniegto piedāvājumu</w:t>
      </w:r>
    </w:p>
    <w:p>
      <w:pPr>
        <w:numPr>
          <w:ilvl w:val="0"/>
          <w:numId w:val="30"/>
        </w:numPr>
        <w:tabs>
          <w:tab w:val="left" w:pos="600"/>
        </w:tabs>
        <w:jc w:val="both"/>
        <w:rPr>
          <w:color w:val="auto"/>
        </w:rPr>
      </w:pPr>
      <w:r>
        <w:rPr>
          <w:color w:val="auto"/>
        </w:rPr>
        <w:t>Finanšu piedāvājumā ir norādīta līgumcena - kopējā cena par kādu tiks veikti Darbi (kopējā piedāvājuma cena), kā arī vienības cenas, izmaksu pozīcijas un to izmaksas.</w:t>
      </w:r>
    </w:p>
    <w:p>
      <w:pPr>
        <w:numPr>
          <w:ilvl w:val="0"/>
          <w:numId w:val="30"/>
        </w:numPr>
        <w:tabs>
          <w:tab w:val="left" w:pos="600"/>
        </w:tabs>
        <w:jc w:val="both"/>
        <w:rPr>
          <w:color w:val="auto"/>
        </w:rPr>
      </w:pPr>
      <w:r>
        <w:rPr>
          <w:color w:val="auto"/>
        </w:rPr>
        <w:t xml:space="preserve">Tāmē ir iekļauti visi darbi un materiāli, lai nodrošinātu darbu izpildi atbilstoši Projektam, Latvijas Republikā spēkā esošajiem normatīvajiem aktiem un katra konkrētā tehnoloģiskā procesa prasībām. </w:t>
      </w:r>
    </w:p>
    <w:p>
      <w:pPr>
        <w:numPr>
          <w:ilvl w:val="0"/>
          <w:numId w:val="30"/>
        </w:numPr>
        <w:tabs>
          <w:tab w:val="left" w:pos="600"/>
        </w:tabs>
        <w:jc w:val="both"/>
        <w:rPr>
          <w:color w:val="auto"/>
        </w:rPr>
      </w:pPr>
      <w:r>
        <w:rPr>
          <w:color w:val="auto"/>
        </w:rPr>
        <w:t>Tāmē ir iekļauti visi darbi un materiāli, pat, ja Pasūtītājs tos nav iekļāvis savā tāmē, bet to nepieciešamība izriet no  faktiskās situācijas</w:t>
      </w:r>
      <w:r>
        <w:rPr>
          <w:rFonts w:hint="default"/>
          <w:color w:val="auto"/>
        </w:rPr>
        <w:t>.</w:t>
      </w:r>
    </w:p>
    <w:p>
      <w:pPr>
        <w:numPr>
          <w:ilvl w:val="0"/>
          <w:numId w:val="30"/>
        </w:numPr>
        <w:tabs>
          <w:tab w:val="left" w:pos="600"/>
        </w:tabs>
        <w:jc w:val="both"/>
        <w:rPr>
          <w:color w:val="auto"/>
        </w:rPr>
      </w:pPr>
      <w:r>
        <w:rPr>
          <w:color w:val="auto"/>
        </w:rPr>
        <w:t>Vienību cenas ir fiksētas uz visu Darba izpildes laiku un netiks pārrēķinātas, izņemot iepirkuma līgumā paredzētajos gadījumos.</w:t>
      </w:r>
    </w:p>
    <w:p>
      <w:pPr>
        <w:tabs>
          <w:tab w:val="left" w:pos="600"/>
        </w:tabs>
        <w:ind w:left="57"/>
        <w:jc w:val="both"/>
        <w:rPr>
          <w:color w:val="auto"/>
        </w:rPr>
      </w:pPr>
    </w:p>
    <w:p>
      <w:pPr>
        <w:widowControl w:val="0"/>
        <w:suppressAutoHyphens/>
        <w:jc w:val="both"/>
        <w:rPr>
          <w:color w:val="auto"/>
        </w:rPr>
      </w:pPr>
    </w:p>
    <w:p>
      <w:pPr>
        <w:keepNext/>
        <w:rPr>
          <w:color w:val="auto"/>
          <w:sz w:val="18"/>
          <w:szCs w:val="18"/>
        </w:rPr>
      </w:pPr>
      <w:r>
        <w:rPr>
          <w:color w:val="auto"/>
          <w:sz w:val="18"/>
          <w:szCs w:val="18"/>
        </w:rPr>
        <w:t>Paraksts *: ___________________________________</w:t>
      </w:r>
    </w:p>
    <w:p>
      <w:pPr>
        <w:jc w:val="both"/>
        <w:rPr>
          <w:color w:val="auto"/>
          <w:sz w:val="18"/>
          <w:szCs w:val="18"/>
        </w:rPr>
      </w:pPr>
      <w:r>
        <w:rPr>
          <w:color w:val="auto"/>
          <w:sz w:val="18"/>
          <w:szCs w:val="18"/>
        </w:rPr>
        <w:t xml:space="preserve">                              Pretendenta vadītājs vai pilnvarotais pārstāvis </w:t>
      </w:r>
    </w:p>
    <w:p>
      <w:pPr>
        <w:rPr>
          <w:color w:val="auto"/>
          <w:sz w:val="18"/>
          <w:szCs w:val="18"/>
        </w:rPr>
      </w:pPr>
      <w:r>
        <w:rPr>
          <w:color w:val="auto"/>
          <w:sz w:val="18"/>
          <w:szCs w:val="18"/>
        </w:rPr>
        <w:t>Vārds, uzvārds: _________________________________</w:t>
      </w:r>
    </w:p>
    <w:p>
      <w:pPr>
        <w:jc w:val="both"/>
        <w:rPr>
          <w:color w:val="auto"/>
          <w:sz w:val="18"/>
          <w:szCs w:val="18"/>
        </w:rPr>
      </w:pPr>
      <w:r>
        <w:rPr>
          <w:color w:val="auto"/>
          <w:sz w:val="18"/>
          <w:szCs w:val="18"/>
        </w:rPr>
        <w:t>Amats: ________________________________________</w:t>
      </w:r>
    </w:p>
    <w:p>
      <w:pPr>
        <w:jc w:val="both"/>
        <w:rPr>
          <w:color w:val="auto"/>
          <w:sz w:val="22"/>
          <w:szCs w:val="22"/>
        </w:rPr>
      </w:pPr>
    </w:p>
    <w:p>
      <w:pPr>
        <w:tabs>
          <w:tab w:val="left" w:pos="540"/>
        </w:tabs>
        <w:ind w:hanging="540"/>
        <w:jc w:val="both"/>
        <w:rPr>
          <w:i/>
          <w:color w:val="auto"/>
          <w:sz w:val="20"/>
          <w:szCs w:val="20"/>
        </w:rPr>
      </w:pPr>
      <w:r>
        <w:rPr>
          <w:i/>
          <w:color w:val="auto"/>
          <w:sz w:val="20"/>
          <w:szCs w:val="20"/>
        </w:rPr>
        <w:t>*</w:t>
      </w:r>
      <w:r>
        <w:rPr>
          <w:i/>
          <w:color w:val="auto"/>
          <w:sz w:val="20"/>
          <w:szCs w:val="20"/>
        </w:rPr>
        <w:tab/>
      </w:r>
      <w:r>
        <w:rPr>
          <w:i/>
          <w:color w:val="auto"/>
          <w:sz w:val="20"/>
          <w:szCs w:val="20"/>
        </w:rPr>
        <w:t>Pieteikums ir jāparaksta pretendenta vadītājam vai viņa pilnvarotai personai (šādā gadījumā pretendenta piedāvājumam obligāti jāpievieno pilnvara).</w:t>
      </w:r>
    </w:p>
    <w:p>
      <w:pPr>
        <w:jc w:val="right"/>
        <w:rPr>
          <w:b/>
          <w:color w:val="FF0000"/>
        </w:rPr>
      </w:pPr>
    </w:p>
    <w:p>
      <w:pPr>
        <w:autoSpaceDE w:val="0"/>
        <w:autoSpaceDN w:val="0"/>
        <w:adjustRightInd w:val="0"/>
        <w:rPr>
          <w:color w:val="FF0000"/>
          <w:sz w:val="22"/>
          <w:szCs w:val="22"/>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r>
        <w:rPr>
          <w:rFonts w:eastAsia="Times New Roman" w:cs="Times New Roman"/>
          <w:color w:val="FF0000"/>
          <w:szCs w:val="24"/>
          <w:lang w:eastAsia="ar-SA"/>
        </w:rPr>
        <w:br w:type="page"/>
      </w:r>
    </w:p>
    <w:p>
      <w:pPr>
        <w:suppressAutoHyphens/>
        <w:spacing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3</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20/6</w:t>
      </w:r>
    </w:p>
    <w:p>
      <w:pPr>
        <w:suppressAutoHyphens/>
        <w:spacing w:before="120" w:after="0" w:line="240" w:lineRule="auto"/>
        <w:jc w:val="right"/>
        <w:rPr>
          <w:rFonts w:eastAsia="Times New Roman" w:cs="Times New Roman"/>
          <w:color w:val="auto"/>
          <w:szCs w:val="24"/>
          <w:lang w:eastAsia="ar-SA"/>
        </w:rPr>
      </w:pPr>
    </w:p>
    <w:p>
      <w:pPr>
        <w:autoSpaceDE w:val="0"/>
        <w:jc w:val="both"/>
        <w:rPr>
          <w:rFonts w:cs="Arial"/>
          <w:bCs/>
          <w:color w:val="auto"/>
        </w:rPr>
      </w:pPr>
    </w:p>
    <w:p>
      <w:pPr>
        <w:jc w:val="center"/>
        <w:rPr>
          <w:b/>
          <w:caps/>
          <w:color w:val="auto"/>
          <w:sz w:val="28"/>
          <w:szCs w:val="28"/>
        </w:rPr>
      </w:pPr>
      <w:r>
        <w:rPr>
          <w:b/>
          <w:caps/>
          <w:color w:val="auto"/>
          <w:sz w:val="28"/>
          <w:szCs w:val="28"/>
        </w:rPr>
        <w:t>pretendenta FINANŠU APGROZĪJUMS</w:t>
      </w:r>
    </w:p>
    <w:p>
      <w:pPr>
        <w:rPr>
          <w:color w:val="auto"/>
        </w:rPr>
      </w:pPr>
    </w:p>
    <w:p>
      <w:pPr>
        <w:rPr>
          <w:color w:val="auto"/>
        </w:rPr>
      </w:pPr>
    </w:p>
    <w:tbl>
      <w:tblPr>
        <w:tblpPr w:leftFromText="180" w:rightFromText="180" w:vertAnchor="text" w:horzAnchor="page" w:tblpX="1935" w:tblpY="370"/>
        <w:tblOverlap w:val="never"/>
        <w:tblW w:w="84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657"/>
        <w:gridCol w:w="2693"/>
        <w:gridCol w:w="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57" w:type="dxa"/>
            <w:vAlign w:val="center"/>
          </w:tcPr>
          <w:p>
            <w:pPr>
              <w:jc w:val="center"/>
              <w:rPr>
                <w:color w:val="auto"/>
                <w:sz w:val="24"/>
                <w:szCs w:val="24"/>
              </w:rPr>
            </w:pPr>
            <w:r>
              <w:rPr>
                <w:color w:val="auto"/>
                <w:sz w:val="24"/>
                <w:szCs w:val="24"/>
              </w:rPr>
              <w:t>201</w:t>
            </w:r>
            <w:r>
              <w:rPr>
                <w:rFonts w:hint="default"/>
                <w:color w:val="auto"/>
                <w:sz w:val="24"/>
                <w:szCs w:val="24"/>
              </w:rPr>
              <w:t>6</w:t>
            </w:r>
            <w:r>
              <w:rPr>
                <w:color w:val="auto"/>
                <w:sz w:val="24"/>
                <w:szCs w:val="24"/>
              </w:rPr>
              <w:t>.gads</w:t>
            </w:r>
          </w:p>
        </w:tc>
        <w:tc>
          <w:tcPr>
            <w:tcW w:w="2693" w:type="dxa"/>
            <w:vAlign w:val="center"/>
          </w:tcPr>
          <w:p>
            <w:pPr>
              <w:jc w:val="center"/>
              <w:rPr>
                <w:color w:val="auto"/>
                <w:sz w:val="24"/>
                <w:szCs w:val="24"/>
              </w:rPr>
            </w:pPr>
            <w:r>
              <w:rPr>
                <w:color w:val="auto"/>
                <w:sz w:val="24"/>
                <w:szCs w:val="24"/>
              </w:rPr>
              <w:t>201</w:t>
            </w:r>
            <w:r>
              <w:rPr>
                <w:rFonts w:hint="default"/>
                <w:color w:val="auto"/>
                <w:sz w:val="24"/>
                <w:szCs w:val="24"/>
              </w:rPr>
              <w:t>7</w:t>
            </w:r>
            <w:r>
              <w:rPr>
                <w:color w:val="auto"/>
                <w:sz w:val="24"/>
                <w:szCs w:val="24"/>
              </w:rPr>
              <w:t>.gads</w:t>
            </w:r>
          </w:p>
        </w:tc>
        <w:tc>
          <w:tcPr>
            <w:tcW w:w="3119" w:type="dxa"/>
            <w:vAlign w:val="center"/>
          </w:tcPr>
          <w:p>
            <w:pPr>
              <w:jc w:val="center"/>
              <w:rPr>
                <w:color w:val="auto"/>
                <w:sz w:val="24"/>
                <w:szCs w:val="24"/>
              </w:rPr>
            </w:pPr>
            <w:r>
              <w:rPr>
                <w:color w:val="auto"/>
                <w:sz w:val="24"/>
                <w:szCs w:val="24"/>
              </w:rPr>
              <w:t>201</w:t>
            </w:r>
            <w:r>
              <w:rPr>
                <w:rFonts w:hint="default"/>
                <w:color w:val="auto"/>
                <w:sz w:val="24"/>
                <w:szCs w:val="24"/>
              </w:rPr>
              <w:t>8</w:t>
            </w:r>
            <w:r>
              <w:rPr>
                <w:color w:val="auto"/>
                <w:sz w:val="24"/>
                <w:szCs w:val="24"/>
              </w:rPr>
              <w:t>.gads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57" w:type="dxa"/>
            <w:vAlign w:val="top"/>
          </w:tcPr>
          <w:p>
            <w:pPr>
              <w:rPr>
                <w:color w:val="auto"/>
                <w:sz w:val="24"/>
                <w:szCs w:val="24"/>
              </w:rPr>
            </w:pPr>
          </w:p>
          <w:p>
            <w:pPr>
              <w:rPr>
                <w:color w:val="auto"/>
                <w:sz w:val="24"/>
                <w:szCs w:val="24"/>
              </w:rPr>
            </w:pPr>
          </w:p>
          <w:p>
            <w:pPr>
              <w:rPr>
                <w:color w:val="auto"/>
                <w:sz w:val="24"/>
                <w:szCs w:val="24"/>
              </w:rPr>
            </w:pPr>
          </w:p>
        </w:tc>
        <w:tc>
          <w:tcPr>
            <w:tcW w:w="2693" w:type="dxa"/>
            <w:vAlign w:val="top"/>
          </w:tcPr>
          <w:p>
            <w:pPr>
              <w:rPr>
                <w:color w:val="auto"/>
                <w:sz w:val="24"/>
                <w:szCs w:val="24"/>
              </w:rPr>
            </w:pPr>
          </w:p>
        </w:tc>
        <w:tc>
          <w:tcPr>
            <w:tcW w:w="3119" w:type="dxa"/>
            <w:vAlign w:val="top"/>
          </w:tcPr>
          <w:p>
            <w:pPr>
              <w:rPr>
                <w:color w:val="auto"/>
                <w:sz w:val="24"/>
                <w:szCs w:val="24"/>
              </w:rPr>
            </w:pPr>
          </w:p>
        </w:tc>
      </w:tr>
    </w:tbl>
    <w:p>
      <w:pPr>
        <w:rPr>
          <w:color w:val="auto"/>
        </w:rPr>
      </w:pPr>
    </w:p>
    <w:p>
      <w:pPr>
        <w:rPr>
          <w:color w:val="auto"/>
        </w:rPr>
      </w:pPr>
    </w:p>
    <w:p>
      <w:pPr>
        <w:rPr>
          <w:color w:val="auto"/>
        </w:rPr>
      </w:pPr>
    </w:p>
    <w:p>
      <w:pPr>
        <w:rPr>
          <w:color w:val="auto"/>
          <w:sz w:val="24"/>
          <w:szCs w:val="24"/>
        </w:rPr>
      </w:pPr>
      <w:r>
        <w:rPr>
          <w:color w:val="auto"/>
          <w:sz w:val="24"/>
          <w:szCs w:val="24"/>
        </w:rPr>
        <w:t>Pretendenta pilnvarotās personas paraksts:  ............................................................................</w:t>
      </w:r>
    </w:p>
    <w:p>
      <w:pPr>
        <w:autoSpaceDE w:val="0"/>
        <w:jc w:val="both"/>
        <w:rPr>
          <w:rFonts w:cs="Arial"/>
          <w:bCs/>
          <w:color w:val="FF0000"/>
          <w:sz w:val="24"/>
          <w:szCs w:val="24"/>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hint="default"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4</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20/6</w:t>
      </w:r>
    </w:p>
    <w:p>
      <w:pPr>
        <w:suppressAutoHyphens/>
        <w:spacing w:before="120" w:after="0" w:line="240" w:lineRule="auto"/>
        <w:jc w:val="right"/>
        <w:rPr>
          <w:rFonts w:eastAsia="Times New Roman" w:cs="Times New Roman"/>
          <w:color w:val="auto"/>
          <w:szCs w:val="24"/>
          <w:lang w:eastAsia="ar-SA"/>
        </w:rPr>
      </w:pPr>
    </w:p>
    <w:p>
      <w:pPr>
        <w:suppressAutoHyphens/>
        <w:spacing w:before="120" w:after="0" w:line="240" w:lineRule="auto"/>
        <w:jc w:val="right"/>
        <w:rPr>
          <w:rFonts w:eastAsia="Times New Roman" w:cs="Times New Roman"/>
          <w:color w:val="auto"/>
          <w:szCs w:val="24"/>
          <w:lang w:eastAsia="ar-SA"/>
        </w:rPr>
      </w:pPr>
    </w:p>
    <w:p>
      <w:pPr>
        <w:jc w:val="center"/>
        <w:rPr>
          <w:b/>
          <w:caps/>
          <w:color w:val="auto"/>
          <w:sz w:val="28"/>
          <w:szCs w:val="28"/>
        </w:rPr>
      </w:pPr>
      <w:r>
        <w:rPr>
          <w:b/>
          <w:caps/>
          <w:color w:val="auto"/>
          <w:sz w:val="28"/>
          <w:szCs w:val="28"/>
        </w:rPr>
        <w:t>pretendenta pieredzeS APLIECINĀJUMS</w:t>
      </w: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bl>
      <w:tblPr>
        <w:tblW w:w="9432"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40"/>
        <w:gridCol w:w="2088"/>
        <w:gridCol w:w="2127"/>
        <w:gridCol w:w="2268"/>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40"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Nr.</w:t>
            </w:r>
          </w:p>
        </w:tc>
        <w:tc>
          <w:tcPr>
            <w:tcW w:w="2088"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Pakalpojuma nosaukums</w:t>
            </w:r>
          </w:p>
        </w:tc>
        <w:tc>
          <w:tcPr>
            <w:tcW w:w="2127"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Pakalpojuma apjoms, EUR (bez PVN)</w:t>
            </w:r>
          </w:p>
        </w:tc>
        <w:tc>
          <w:tcPr>
            <w:tcW w:w="2268"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Pasūtītāja nosaukums, adrese, kontaktpersona</w:t>
            </w:r>
          </w:p>
        </w:tc>
        <w:tc>
          <w:tcPr>
            <w:tcW w:w="2409"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Izpildes 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w:t>
            </w:r>
          </w:p>
        </w:tc>
        <w:tc>
          <w:tcPr>
            <w:tcW w:w="2088"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c>
        <w:tc>
          <w:tcPr>
            <w:tcW w:w="2127" w:type="dxa"/>
            <w:vAlign w:val="top"/>
          </w:tcPr>
          <w:p>
            <w:pPr>
              <w:rPr>
                <w:rFonts w:hint="default" w:ascii="Times New Roman" w:hAnsi="Times New Roman" w:cs="Times New Roman"/>
                <w:color w:val="auto"/>
                <w:sz w:val="24"/>
                <w:szCs w:val="24"/>
              </w:rPr>
            </w:pPr>
          </w:p>
        </w:tc>
        <w:tc>
          <w:tcPr>
            <w:tcW w:w="2268" w:type="dxa"/>
            <w:vAlign w:val="top"/>
          </w:tcPr>
          <w:p>
            <w:pPr>
              <w:rPr>
                <w:rFonts w:hint="default" w:ascii="Times New Roman" w:hAnsi="Times New Roman" w:cs="Times New Roman"/>
                <w:color w:val="auto"/>
                <w:sz w:val="24"/>
                <w:szCs w:val="24"/>
              </w:rPr>
            </w:pPr>
          </w:p>
        </w:tc>
        <w:tc>
          <w:tcPr>
            <w:tcW w:w="2409" w:type="dxa"/>
            <w:vAlign w:val="top"/>
          </w:tcPr>
          <w:p>
            <w:pPr>
              <w:rPr>
                <w:rFonts w:hint="default"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p>
        </w:tc>
        <w:tc>
          <w:tcPr>
            <w:tcW w:w="2088"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c>
        <w:tc>
          <w:tcPr>
            <w:tcW w:w="2127" w:type="dxa"/>
            <w:vAlign w:val="top"/>
          </w:tcPr>
          <w:p>
            <w:pPr>
              <w:rPr>
                <w:rFonts w:hint="default" w:ascii="Times New Roman" w:hAnsi="Times New Roman" w:cs="Times New Roman"/>
                <w:color w:val="auto"/>
                <w:sz w:val="24"/>
                <w:szCs w:val="24"/>
              </w:rPr>
            </w:pPr>
          </w:p>
        </w:tc>
        <w:tc>
          <w:tcPr>
            <w:tcW w:w="2268" w:type="dxa"/>
            <w:vAlign w:val="top"/>
          </w:tcPr>
          <w:p>
            <w:pPr>
              <w:rPr>
                <w:rFonts w:hint="default" w:ascii="Times New Roman" w:hAnsi="Times New Roman" w:cs="Times New Roman"/>
                <w:color w:val="auto"/>
                <w:sz w:val="24"/>
                <w:szCs w:val="24"/>
              </w:rPr>
            </w:pPr>
          </w:p>
        </w:tc>
        <w:tc>
          <w:tcPr>
            <w:tcW w:w="2409" w:type="dxa"/>
            <w:vAlign w:val="top"/>
          </w:tcPr>
          <w:p>
            <w:pPr>
              <w:rPr>
                <w:rFonts w:hint="default"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w:t>
            </w:r>
          </w:p>
        </w:tc>
        <w:tc>
          <w:tcPr>
            <w:tcW w:w="2088"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c>
        <w:tc>
          <w:tcPr>
            <w:tcW w:w="2127" w:type="dxa"/>
            <w:vAlign w:val="top"/>
          </w:tcPr>
          <w:p>
            <w:pPr>
              <w:rPr>
                <w:rFonts w:hint="default" w:ascii="Times New Roman" w:hAnsi="Times New Roman" w:cs="Times New Roman"/>
                <w:color w:val="auto"/>
                <w:sz w:val="24"/>
                <w:szCs w:val="24"/>
              </w:rPr>
            </w:pPr>
          </w:p>
        </w:tc>
        <w:tc>
          <w:tcPr>
            <w:tcW w:w="2268" w:type="dxa"/>
            <w:vAlign w:val="top"/>
          </w:tcPr>
          <w:p>
            <w:pPr>
              <w:rPr>
                <w:rFonts w:hint="default" w:ascii="Times New Roman" w:hAnsi="Times New Roman" w:cs="Times New Roman"/>
                <w:color w:val="auto"/>
                <w:sz w:val="24"/>
                <w:szCs w:val="24"/>
              </w:rPr>
            </w:pPr>
          </w:p>
        </w:tc>
        <w:tc>
          <w:tcPr>
            <w:tcW w:w="2409" w:type="dxa"/>
            <w:vAlign w:val="top"/>
          </w:tcPr>
          <w:p>
            <w:pPr>
              <w:rPr>
                <w:rFonts w:hint="default" w:ascii="Times New Roman" w:hAnsi="Times New Roman" w:cs="Times New Roman"/>
                <w:color w:val="auto"/>
                <w:sz w:val="24"/>
                <w:szCs w:val="24"/>
              </w:rPr>
            </w:pPr>
          </w:p>
        </w:tc>
      </w:tr>
    </w:tbl>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Pretendenta pilnvarotās personas paraksts:  ............................................................................</w:t>
      </w:r>
    </w:p>
    <w:p>
      <w:pPr>
        <w:autoSpaceDE w:val="0"/>
        <w:jc w:val="both"/>
        <w:rPr>
          <w:rFonts w:hint="default" w:ascii="Times New Roman" w:hAnsi="Times New Roman" w:cs="Times New Roman"/>
          <w:bCs/>
          <w:color w:val="FF0000"/>
          <w:sz w:val="24"/>
          <w:szCs w:val="24"/>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hint="default"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5</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20/6</w:t>
      </w:r>
    </w:p>
    <w:p>
      <w:pPr>
        <w:spacing w:before="120" w:after="120"/>
        <w:jc w:val="center"/>
        <w:rPr>
          <w:b/>
        </w:rPr>
      </w:pPr>
      <w:r>
        <w:rPr>
          <w:b/>
        </w:rPr>
        <w:t>TEHNISKĀ SPECIFIKĀCIJA</w:t>
      </w:r>
    </w:p>
    <w:p>
      <w:pPr>
        <w:spacing w:before="120" w:after="120"/>
        <w:jc w:val="center"/>
        <w:rPr>
          <w:rFonts w:eastAsia="Calibri" w:cs="Calibri"/>
          <w:b/>
        </w:rPr>
      </w:pPr>
      <w:r>
        <w:rPr>
          <w:rFonts w:eastAsia="Calibri" w:cs="Calibri"/>
          <w:b/>
          <w:i/>
        </w:rPr>
        <w:t>“</w:t>
      </w:r>
      <w:r>
        <w:rPr>
          <w:b/>
          <w:bCs/>
        </w:rPr>
        <w:t>Elektroapgādes sistēmu mērījumi SIA “DOBELES NAMSAIMNIEKS” apsaimniekojamos objektos</w:t>
      </w:r>
      <w:r>
        <w:rPr>
          <w:b/>
        </w:rPr>
        <w:t>”</w:t>
      </w:r>
    </w:p>
    <w:p>
      <w:pPr>
        <w:jc w:val="center"/>
      </w:pPr>
    </w:p>
    <w:p>
      <w:pPr>
        <w:tabs>
          <w:tab w:val="left" w:pos="993"/>
        </w:tabs>
        <w:autoSpaceDE w:val="0"/>
        <w:autoSpaceDN w:val="0"/>
        <w:adjustRightInd w:val="0"/>
        <w:rPr>
          <w:b/>
          <w:bCs/>
        </w:rPr>
      </w:pPr>
      <w:r>
        <w:rPr>
          <w:b/>
          <w:bCs/>
        </w:rPr>
        <w:t>Veicamie darbi:</w:t>
      </w:r>
    </w:p>
    <w:p>
      <w:pPr>
        <w:tabs>
          <w:tab w:val="left" w:pos="600"/>
          <w:tab w:val="left" w:pos="720"/>
          <w:tab w:val="left" w:pos="993"/>
        </w:tabs>
        <w:suppressAutoHyphens/>
        <w:jc w:val="both"/>
      </w:pPr>
      <w:r>
        <w:rPr>
          <w:bCs/>
        </w:rPr>
        <w:t>Elektroapgādes sistēmu mērījumi SIA “DOBELES NAMSAIMNIEKS” apsaimniekojamos objektos</w:t>
      </w:r>
      <w:r>
        <w:t xml:space="preserve"> jāveic saskaņā ar tehnisko specifikāciju un tehnisko piedāvājumu (1.1.pielikums), Nolikuma nosacījumiem.</w:t>
      </w:r>
    </w:p>
    <w:p>
      <w:pPr>
        <w:tabs>
          <w:tab w:val="left" w:pos="993"/>
        </w:tabs>
        <w:autoSpaceDE w:val="0"/>
        <w:autoSpaceDN w:val="0"/>
        <w:adjustRightInd w:val="0"/>
        <w:rPr>
          <w:b/>
          <w:bCs/>
        </w:rPr>
      </w:pPr>
      <w:r>
        <w:rPr>
          <w:b/>
          <w:bCs/>
        </w:rPr>
        <w:t>Darba uzdevums un apjomi:</w:t>
      </w:r>
    </w:p>
    <w:p>
      <w:pPr>
        <w:jc w:val="both"/>
      </w:pPr>
      <w:r>
        <w:t>Novērtēt objektos: daudzdzīvokļu dzīvojamo māju, pašvaldību dzīvojamās telpās un pienākošo elektro instalāciju, kas ir dotā dzīvokļa atbildības robežā, izbūvēto elektroapgādes sistēmu atbilstību spēkā esošajiem ekspluatācijas, elektrodrošības un ugunsdrošības normatīviem.</w:t>
      </w:r>
    </w:p>
    <w:p>
      <w:pPr>
        <w:numPr>
          <w:ilvl w:val="0"/>
          <w:numId w:val="31"/>
        </w:numPr>
        <w:ind w:left="0" w:firstLine="0"/>
        <w:jc w:val="both"/>
        <w:rPr>
          <w:b/>
        </w:rPr>
      </w:pPr>
      <w:r>
        <w:rPr>
          <w:b/>
        </w:rPr>
        <w:t>Darbu apraksts:</w:t>
      </w:r>
    </w:p>
    <w:p>
      <w:pPr>
        <w:numPr>
          <w:ilvl w:val="1"/>
          <w:numId w:val="31"/>
        </w:numPr>
        <w:ind w:left="0" w:firstLine="567"/>
        <w:jc w:val="both"/>
      </w:pPr>
      <w:r>
        <w:t>Apsekot objektos izbūvētās stacionārās elektroietaises un elektrotīklu.</w:t>
      </w:r>
    </w:p>
    <w:p>
      <w:pPr>
        <w:numPr>
          <w:ilvl w:val="1"/>
          <w:numId w:val="31"/>
        </w:numPr>
        <w:ind w:left="0" w:firstLine="567"/>
        <w:jc w:val="both"/>
      </w:pPr>
      <w:r>
        <w:t>Veikt esošo elektrisko slēgumu principiālo shēmu.</w:t>
      </w:r>
    </w:p>
    <w:p>
      <w:pPr>
        <w:numPr>
          <w:ilvl w:val="1"/>
          <w:numId w:val="31"/>
        </w:numPr>
        <w:ind w:left="0" w:firstLine="567"/>
        <w:jc w:val="both"/>
      </w:pPr>
      <w:r>
        <w:t>Veikt elektriskos mērījumus saskaņā ar Latvijas Republikas Ministru kabineta 2016.gada 19.aprīļa noteikumiem Nr.238 „Ugunsdrošības noteikumi” 56.punktu un saskaņā ar šo noteikumu 57.punktu iesniegt pārbaudes aktus, kuros norāda:</w:t>
      </w:r>
    </w:p>
    <w:p>
      <w:pPr>
        <w:ind w:firstLine="986" w:firstLineChars="0"/>
        <w:jc w:val="both"/>
      </w:pPr>
      <w:r>
        <w:t>a) veiktos darbus;</w:t>
      </w:r>
    </w:p>
    <w:p>
      <w:pPr>
        <w:ind w:firstLine="986" w:firstLineChars="0"/>
        <w:jc w:val="both"/>
      </w:pPr>
      <w:r>
        <w:t>b) mērījumu rezultātus;</w:t>
      </w:r>
    </w:p>
    <w:p>
      <w:pPr>
        <w:ind w:firstLine="986" w:firstLineChars="0"/>
        <w:jc w:val="both"/>
      </w:pPr>
      <w:r>
        <w:t>c) slēdzienu par turpmāko ekspluatāciju.</w:t>
      </w:r>
    </w:p>
    <w:p>
      <w:pPr>
        <w:numPr>
          <w:ilvl w:val="1"/>
          <w:numId w:val="31"/>
        </w:numPr>
        <w:ind w:left="0" w:firstLine="567"/>
        <w:jc w:val="both"/>
      </w:pPr>
      <w:r>
        <w:t xml:space="preserve">Apsekot elektroapgādes līnijas un pārbaudīt to atbilstību Latvijas Republikas Ministru kabineta 2016.gada 19.aprīļa noteikumiem Nr.238 „Ugunsdrošības noteikumi” 58.punkta noteiktajām prasībām, sagatavot un iesniegt atskaiti par konstatēto, identificēt neatbilstības un sniegt rekomendācijas par turpmāko elektroinstalācijas ekspluatāciju. </w:t>
      </w:r>
      <w:r>
        <w:rPr>
          <w:color w:val="000000"/>
        </w:rPr>
        <w:t>Mērījumus jāveic ievērojot LEK 38 – “</w:t>
      </w:r>
      <w:r>
        <w:t xml:space="preserve">Elektroietaišu termogrāfisko pārbaužu normas un apjomi” mērījumu metodoloģiju. Mērījumu laikā jāpielieto iekārtu, kas var nodrošināt pietiekoši labu termo attālas kvalitāti ar termodetektora izšķirtspēju ne mazāku par 120x90 pikseļiem. </w:t>
      </w:r>
    </w:p>
    <w:p>
      <w:pPr>
        <w:numPr>
          <w:ilvl w:val="1"/>
          <w:numId w:val="31"/>
        </w:numPr>
        <w:ind w:left="0" w:firstLine="567"/>
        <w:jc w:val="both"/>
      </w:pPr>
      <w:r>
        <w:t>Veikt elektriskās pretestības mērījumus cilpai „fāze – nulle” un iesniegt protokolus, kuros norāda:</w:t>
      </w:r>
    </w:p>
    <w:p>
      <w:pPr>
        <w:ind w:firstLine="986" w:firstLineChars="0"/>
        <w:jc w:val="both"/>
      </w:pPr>
      <w:r>
        <w:t>a) veiktos darbus;</w:t>
      </w:r>
    </w:p>
    <w:p>
      <w:pPr>
        <w:ind w:firstLine="986" w:firstLineChars="0"/>
        <w:jc w:val="both"/>
      </w:pPr>
      <w:r>
        <w:t>b) mērījumu rezultātus;</w:t>
      </w:r>
    </w:p>
    <w:p>
      <w:pPr>
        <w:ind w:firstLine="986" w:firstLineChars="0"/>
        <w:jc w:val="both"/>
      </w:pPr>
      <w:r>
        <w:t>c) slēdzienu par turpmāko ekspluatāciju.</w:t>
      </w:r>
    </w:p>
    <w:p>
      <w:pPr>
        <w:numPr>
          <w:ilvl w:val="1"/>
          <w:numId w:val="31"/>
        </w:numPr>
        <w:ind w:left="0" w:firstLine="567"/>
        <w:jc w:val="both"/>
      </w:pPr>
      <w:r>
        <w:t>Veikt zemējumietaises zemējumvadu nepārtrauktības, zemējumietaises pretestību mērījumus un iesniegt protokolus, kuros norāda:</w:t>
      </w:r>
    </w:p>
    <w:p>
      <w:pPr>
        <w:ind w:firstLine="986" w:firstLineChars="0"/>
        <w:jc w:val="both"/>
      </w:pPr>
      <w:r>
        <w:t>a) veiktos darbus;</w:t>
      </w:r>
    </w:p>
    <w:p>
      <w:pPr>
        <w:ind w:firstLine="986" w:firstLineChars="0"/>
        <w:jc w:val="both"/>
      </w:pPr>
      <w:r>
        <w:t>b) mērījumu rezultātus;</w:t>
      </w:r>
    </w:p>
    <w:p>
      <w:pPr>
        <w:ind w:firstLine="986" w:firstLineChars="0"/>
        <w:jc w:val="both"/>
      </w:pPr>
      <w:r>
        <w:t>c) slēdzienu par turpmāko ekspluatāciju.</w:t>
      </w:r>
    </w:p>
    <w:p>
      <w:pPr>
        <w:numPr>
          <w:ilvl w:val="0"/>
          <w:numId w:val="31"/>
        </w:numPr>
        <w:ind w:left="0" w:firstLine="0"/>
        <w:jc w:val="both"/>
        <w:rPr>
          <w:b/>
        </w:rPr>
      </w:pPr>
      <w:r>
        <w:rPr>
          <w:b/>
        </w:rPr>
        <w:t>Kvalifikācijas prasības un iesniedzamie dokumenti:</w:t>
      </w:r>
    </w:p>
    <w:p>
      <w:pPr>
        <w:numPr>
          <w:ilvl w:val="1"/>
          <w:numId w:val="31"/>
        </w:numPr>
        <w:ind w:left="0" w:leftChars="0" w:firstLine="480" w:firstLineChars="0"/>
        <w:jc w:val="both"/>
      </w:pPr>
      <w:r>
        <w:t>Pretendents ir reģistrēts atbilstoši attiecīgās valsts normatīvo aktu prasībām.</w:t>
      </w:r>
    </w:p>
    <w:p>
      <w:pPr>
        <w:numPr>
          <w:ilvl w:val="1"/>
          <w:numId w:val="31"/>
        </w:numPr>
        <w:ind w:left="0" w:leftChars="0" w:firstLine="480" w:firstLineChars="0"/>
        <w:jc w:val="both"/>
      </w:pPr>
      <w:r>
        <w:t>Elektrotehnisko mērījumu darbos iesaistītajiem darbiniekiem ir jābūt derīgiem sertifikātiem un elektrodrošības apliecībām ar kvalifikācijas grupu vismaz B.</w:t>
      </w:r>
    </w:p>
    <w:p>
      <w:pPr>
        <w:numPr>
          <w:ilvl w:val="1"/>
          <w:numId w:val="31"/>
        </w:numPr>
        <w:ind w:left="0" w:leftChars="0" w:firstLine="480" w:firstLineChars="0"/>
        <w:jc w:val="both"/>
      </w:pPr>
      <w:r>
        <w:t>Pretendentam veicot mērījumus jāpielieto iekārtas, kurām ir derīgi  kalibrēšanas sertifikāti.</w:t>
      </w:r>
    </w:p>
    <w:p>
      <w:pPr>
        <w:numPr>
          <w:ilvl w:val="0"/>
          <w:numId w:val="31"/>
        </w:numPr>
        <w:ind w:left="0" w:leftChars="0" w:firstLine="0" w:firstLineChars="0"/>
        <w:jc w:val="both"/>
        <w:rPr>
          <w:b/>
        </w:rPr>
      </w:pPr>
      <w:r>
        <w:rPr>
          <w:b/>
        </w:rPr>
        <w:t>Darbu veikšana, saskaņošana un organizēšana</w:t>
      </w:r>
    </w:p>
    <w:p>
      <w:pPr>
        <w:numPr>
          <w:ilvl w:val="1"/>
          <w:numId w:val="31"/>
        </w:numPr>
        <w:ind w:left="0" w:leftChars="0" w:firstLine="480" w:firstLineChars="0"/>
        <w:jc w:val="both"/>
      </w:pPr>
      <w:r>
        <w:t>Pēc līguma noslēgšanas par konkrētā objektā veicamiem darbiem, Pretendentam ir jāiesniedz visa Pasūtītāja pieprasītā informācija par darbos iesaistītām personām.</w:t>
      </w:r>
    </w:p>
    <w:p>
      <w:pPr>
        <w:numPr>
          <w:ilvl w:val="1"/>
          <w:numId w:val="31"/>
        </w:numPr>
        <w:ind w:left="0" w:leftChars="0" w:firstLine="480" w:firstLineChars="0"/>
        <w:jc w:val="both"/>
      </w:pPr>
      <w:r>
        <w:t>Veicamo darbu grafiki jāsaskaņo ar objekta pārvaldnieku un personīgi ar telpu nomniekiem:</w:t>
      </w:r>
    </w:p>
    <w:p>
      <w:pPr>
        <w:pStyle w:val="8"/>
        <w:numPr>
          <w:ilvl w:val="0"/>
          <w:numId w:val="32"/>
        </w:numPr>
        <w:ind w:left="1620"/>
        <w:jc w:val="both"/>
      </w:pPr>
      <w:r>
        <w:rPr>
          <w:u w:val="single"/>
        </w:rPr>
        <w:t>Par darbu uzsākšanu dzīvojamās telpās, personīgi brīdināt dzīvokļu īrniekus 7 dienas iepriekš. Ja nav iespējams iekļūt dzīvojamās telpās, tad par to sastāda aktu un ziņo Pasūtītājam</w:t>
      </w:r>
      <w:r>
        <w:t>.</w:t>
      </w:r>
    </w:p>
    <w:p>
      <w:pPr>
        <w:numPr>
          <w:ilvl w:val="1"/>
          <w:numId w:val="31"/>
        </w:numPr>
        <w:ind w:left="0" w:leftChars="0" w:firstLine="480" w:firstLineChars="0"/>
        <w:jc w:val="both"/>
      </w:pPr>
      <w:r>
        <w:t>Atsevišķos gadījumos darbi veicami vakaros pēc plkst. 20.00 un brīvdienās.</w:t>
      </w:r>
    </w:p>
    <w:p>
      <w:pPr>
        <w:numPr>
          <w:ilvl w:val="1"/>
          <w:numId w:val="31"/>
        </w:numPr>
        <w:ind w:left="0" w:leftChars="0" w:firstLine="480" w:firstLineChars="0"/>
        <w:jc w:val="both"/>
      </w:pPr>
      <w:r>
        <w:t>Pretendenta rīcībā ir jābūt resursiem, lai saviem spēkiem sagatavotu līnijas mērījumiem ieskaitot mēbeļu pārvietošanu, iekārtu (biroja tehnika, gaismas ķermeņi u.c.) atslēgumus un pēc mērījumu veikšanas atgrieztu visu iepriekšējā stāvoklī.</w:t>
      </w:r>
    </w:p>
    <w:p>
      <w:pPr>
        <w:numPr>
          <w:ilvl w:val="1"/>
          <w:numId w:val="31"/>
        </w:numPr>
        <w:ind w:left="0" w:leftChars="0" w:firstLine="480" w:firstLineChars="0"/>
        <w:jc w:val="both"/>
      </w:pPr>
      <w:r>
        <w:t>Darbu izpildes laikā, Pretendents ir atbildīgs par Pasūtītāja iekšējās kārtības noteikumu, darba drošības un ugunsdrošības prasību ievērošanu.</w:t>
      </w:r>
    </w:p>
    <w:p>
      <w:pPr>
        <w:numPr>
          <w:ilvl w:val="0"/>
          <w:numId w:val="31"/>
        </w:numPr>
        <w:ind w:left="0" w:leftChars="0" w:firstLine="0" w:firstLineChars="0"/>
        <w:jc w:val="both"/>
        <w:rPr>
          <w:b/>
        </w:rPr>
      </w:pPr>
      <w:r>
        <w:rPr>
          <w:b/>
        </w:rPr>
        <w:t>Veicamo darbu apjoms.</w:t>
      </w:r>
    </w:p>
    <w:p>
      <w:pPr>
        <w:pStyle w:val="8"/>
        <w:numPr>
          <w:ilvl w:val="1"/>
          <w:numId w:val="31"/>
        </w:numPr>
        <w:ind w:left="780" w:leftChars="0" w:hanging="300" w:firstLineChars="0"/>
        <w:jc w:val="both"/>
      </w:pPr>
      <w:r>
        <w:t xml:space="preserve">Elektroietaišu apsekošanas robežas noteiktas no objektu elektroapgādes tehniskajos datos, robežaktā norādītajam pieslēguma vietām līdz stacionārajiem elektroenerģijas patērētājiem. Veicamo darbu apjomu noteikšanai par pamatkritēriju tiek  izmantota apsekojamās ēkas platība. </w:t>
      </w:r>
    </w:p>
    <w:p>
      <w:pPr>
        <w:numPr>
          <w:ilvl w:val="0"/>
          <w:numId w:val="31"/>
        </w:numPr>
        <w:ind w:left="0" w:leftChars="0" w:firstLine="0" w:firstLineChars="0"/>
        <w:jc w:val="both"/>
        <w:rPr>
          <w:b/>
        </w:rPr>
      </w:pPr>
      <w:r>
        <w:rPr>
          <w:b/>
        </w:rPr>
        <w:t>Prasības aprīkojumam.</w:t>
      </w:r>
    </w:p>
    <w:p>
      <w:pPr>
        <w:numPr>
          <w:ilvl w:val="1"/>
          <w:numId w:val="31"/>
        </w:numPr>
        <w:ind w:left="0" w:leftChars="0" w:firstLine="480" w:firstLineChars="0"/>
        <w:jc w:val="both"/>
      </w:pPr>
      <w:r>
        <w:t>Visām Pretendenta izmantotajām mērierīcēm ir jābūt verificētām ar derīgiem kalibrēšanas sertifikātiem.</w:t>
      </w:r>
    </w:p>
    <w:p>
      <w:pPr>
        <w:numPr>
          <w:ilvl w:val="1"/>
          <w:numId w:val="31"/>
        </w:numPr>
        <w:ind w:left="0" w:leftChars="0" w:firstLine="480" w:firstLineChars="0"/>
        <w:jc w:val="both"/>
      </w:pPr>
      <w:r>
        <w:t>Pretendents pats ir atbildīgs par precīzu darbu tehnoloģijas izvēli, darba rīku un mērlīdzekļu pielietošanu, kā arī par izpildāmo darbu apjomu novērtēšanu uzdevuma veikšanai. Pretendentam pašam jāizvērtē darbu veikšanai nepieciešamie darbaspēka resursi.</w:t>
      </w:r>
    </w:p>
    <w:p>
      <w:pPr>
        <w:numPr>
          <w:ilvl w:val="1"/>
          <w:numId w:val="31"/>
        </w:numPr>
        <w:ind w:left="0" w:leftChars="0" w:firstLine="480" w:firstLineChars="0"/>
        <w:jc w:val="both"/>
      </w:pPr>
      <w:r>
        <w:t>Pretendents veic darbus ar savu kvalificētu darbaspēku, tehniku, darbarīkiem un materiāliem.</w:t>
      </w:r>
    </w:p>
    <w:p>
      <w:pPr>
        <w:numPr>
          <w:ilvl w:val="1"/>
          <w:numId w:val="31"/>
        </w:numPr>
        <w:ind w:left="0" w:leftChars="0" w:firstLine="480" w:firstLineChars="0"/>
        <w:jc w:val="both"/>
      </w:pPr>
      <w:r>
        <w:t>Uzņēmumam jābūt sertificētam atbilstoši ISO vadības standartiem un ievestas Kvalitātes vadības sistēma ISO 9001 vai alternatīvas sistēmas attiecīga darbinās veida – elektroietaišu projektēšana, elektrisko mērījumu veikšana.</w:t>
      </w:r>
    </w:p>
    <w:p>
      <w:pPr>
        <w:numPr>
          <w:ilvl w:val="0"/>
          <w:numId w:val="31"/>
        </w:numPr>
        <w:ind w:left="0" w:leftChars="0" w:firstLine="0" w:firstLineChars="0"/>
        <w:jc w:val="both"/>
        <w:rPr>
          <w:b/>
        </w:rPr>
      </w:pPr>
      <w:r>
        <w:rPr>
          <w:b/>
        </w:rPr>
        <w:t>Darbu pārbaudes un pieņemšanas noteikumi.</w:t>
      </w:r>
    </w:p>
    <w:p>
      <w:pPr>
        <w:numPr>
          <w:ilvl w:val="1"/>
          <w:numId w:val="31"/>
        </w:numPr>
        <w:ind w:left="0" w:leftChars="0" w:firstLine="480" w:firstLineChars="0"/>
        <w:jc w:val="both"/>
      </w:pPr>
      <w:r>
        <w:t>Izpilddokumentāciju un elektrotehnisko mērījumu protokolus jāizstrādā divos eksemplāros drukātā veidā un vienu elektroniski.</w:t>
      </w:r>
    </w:p>
    <w:p>
      <w:pPr>
        <w:pStyle w:val="8"/>
        <w:numPr>
          <w:ilvl w:val="1"/>
          <w:numId w:val="31"/>
        </w:numPr>
        <w:ind w:left="780" w:leftChars="0" w:hanging="300" w:firstLineChars="0"/>
        <w:jc w:val="both"/>
      </w:pPr>
      <w:r>
        <w:t xml:space="preserve"> Iesniedzamās izpilddokumentācijas sastāvs:</w:t>
      </w:r>
    </w:p>
    <w:p>
      <w:pPr>
        <w:pStyle w:val="8"/>
        <w:numPr>
          <w:ilvl w:val="0"/>
          <w:numId w:val="33"/>
        </w:numPr>
        <w:ind w:left="720" w:leftChars="0" w:firstLine="240" w:firstLineChars="0"/>
        <w:jc w:val="both"/>
      </w:pPr>
      <w:r>
        <w:t>Lokālo sadalņu vienlīniju shēmas (tās, kas lokālajās sadalnēs).</w:t>
      </w:r>
    </w:p>
    <w:p>
      <w:pPr>
        <w:pStyle w:val="8"/>
        <w:numPr>
          <w:ilvl w:val="0"/>
          <w:numId w:val="33"/>
        </w:numPr>
        <w:ind w:left="720" w:leftChars="0" w:firstLine="240" w:firstLineChars="0"/>
        <w:jc w:val="both"/>
      </w:pPr>
      <w:r>
        <w:t>Vadu un kabeļu izolācijas pretestības mērījumu protokoli ar atzinumu par turpmāko ekspluatāciju.</w:t>
      </w:r>
    </w:p>
    <w:p>
      <w:pPr>
        <w:pStyle w:val="8"/>
        <w:numPr>
          <w:ilvl w:val="0"/>
          <w:numId w:val="33"/>
        </w:numPr>
        <w:ind w:left="720" w:leftChars="0" w:firstLine="240" w:firstLineChars="0"/>
        <w:jc w:val="both"/>
      </w:pPr>
      <w:r>
        <w:t>Zemējumietaises (zemējumkontūra, ja ir atteicams) pretestības mērījums ar atzinumu par turpmāko ekspluatāciju.</w:t>
      </w:r>
    </w:p>
    <w:p>
      <w:pPr>
        <w:pStyle w:val="8"/>
        <w:numPr>
          <w:ilvl w:val="0"/>
          <w:numId w:val="33"/>
        </w:numPr>
        <w:ind w:left="720" w:leftChars="0" w:firstLine="240" w:firstLineChars="0"/>
        <w:jc w:val="both"/>
      </w:pPr>
      <w:r>
        <w:t>Pilnas elektriskās pretestības mērījumi cilpai „fāze - nulle” ar atzinumu par turpmāko ekspluatāciju.</w:t>
      </w:r>
    </w:p>
    <w:p>
      <w:pPr>
        <w:pStyle w:val="8"/>
        <w:numPr>
          <w:ilvl w:val="0"/>
          <w:numId w:val="33"/>
        </w:numPr>
        <w:ind w:left="720" w:leftChars="0" w:firstLine="240" w:firstLineChars="0"/>
        <w:jc w:val="both"/>
      </w:pPr>
      <w:r>
        <w:t>Elektroinstalācijas kontaktu savienojumu kvalitātes pārbaude ar atzinumu par turpmāko ekspluatāciju.</w:t>
      </w:r>
    </w:p>
    <w:p>
      <w:pPr>
        <w:numPr>
          <w:ilvl w:val="1"/>
          <w:numId w:val="31"/>
        </w:numPr>
        <w:ind w:left="0" w:leftChars="0" w:firstLine="480" w:firstLineChars="0"/>
        <w:jc w:val="both"/>
      </w:pPr>
      <w:r>
        <w:t>Pēc darbu veikšanas darbu pieņemšana noformējama ar Pretendenta un Pasūtītāja parakstītu darbu izpildes aktu (forma Nr. 2) un darbu pieņemšanas – nodošanas aktu.</w:t>
      </w:r>
    </w:p>
    <w:p>
      <w:pPr>
        <w:numPr>
          <w:ilvl w:val="0"/>
          <w:numId w:val="31"/>
        </w:numPr>
        <w:ind w:left="0" w:firstLine="0"/>
        <w:jc w:val="both"/>
        <w:rPr>
          <w:rFonts w:hAnsi="SimSun"/>
        </w:rPr>
      </w:pPr>
      <w:r>
        <w:rPr>
          <w:b/>
        </w:rPr>
        <w:t>Īpašās prasības</w:t>
      </w:r>
    </w:p>
    <w:p>
      <w:pPr>
        <w:numPr>
          <w:ilvl w:val="1"/>
          <w:numId w:val="31"/>
        </w:numPr>
        <w:ind w:left="0" w:firstLine="426"/>
        <w:jc w:val="both"/>
      </w:pPr>
      <w:r>
        <w:t>Finanšu piedāvājums (tāme) iesniedzams atbilstoši Noteikumi par Latvijas būvnormatīvu LBN 501-06 “Būvizmaksu noteikšanas kārtība” 5. pielikums. Piedāvājuma jāiekļauj visas ar pakalpojumu saistītās izmaksas (darbs (ieskaitot mēbeļu pārvietošanu), mērlīdzekļi, mehānismi, transports visā Latvijas teritorijā, kā arī visas nodevas un nodokļi). Finanšu piedāvājumā norādītās izmaksas nevar palielināt visā līguma darbības laikā.1.1.</w:t>
      </w:r>
    </w:p>
    <w:p>
      <w:pPr>
        <w:numPr>
          <w:ilvl w:val="1"/>
          <w:numId w:val="31"/>
        </w:numPr>
        <w:ind w:left="0" w:firstLine="426"/>
        <w:jc w:val="both"/>
      </w:pPr>
      <w:r>
        <w:t>Elektriskajām vienlīniju shēmām jābūt sastādītām ar sertificēta elektroietaišu projektētāja palīdzību. Pretendentam jābūt licencētai CAD programmatūrai, lai sastādītu elektriskās shēmas .dwg formātā. Dokumentus jāiesniedz .dwg, .pdf un .doc formātos, kā arī jābūt izdrukātiem dokumentu un shēmu eksemplāriem.</w:t>
      </w:r>
    </w:p>
    <w:p>
      <w:pPr>
        <w:numPr>
          <w:ilvl w:val="1"/>
          <w:numId w:val="31"/>
        </w:numPr>
        <w:ind w:left="0" w:firstLine="426"/>
        <w:jc w:val="both"/>
      </w:pPr>
      <w:r>
        <w:t>Pretendents pats ir atbildīgs par spēkā esošo darbu drošības, ugunsdrošības noteikumu un uzņēmuma iekšējās kārtības noteikumu  ievērošanu objektā.</w:t>
      </w:r>
    </w:p>
    <w:p>
      <w:pPr>
        <w:numPr>
          <w:ilvl w:val="1"/>
          <w:numId w:val="31"/>
        </w:numPr>
        <w:ind w:left="0" w:firstLine="426"/>
        <w:jc w:val="both"/>
      </w:pPr>
      <w:r>
        <w:t>Apsekošanas rezultātā objektam nodarītie bojājumi (izņemot gadījumu, kad mērījuma procesā ar paaugstināto spriegumu tiek sabojāta vadītāja izolācija) vai arī citi zaudējumi, kas radušies Pretendenta darbības vai bezdarbības rezultātā, Pretendentam jānovērš par saviem līdzekļiem.</w:t>
      </w:r>
    </w:p>
    <w:p>
      <w:pPr>
        <w:numPr>
          <w:ilvl w:val="1"/>
          <w:numId w:val="31"/>
        </w:numPr>
        <w:ind w:left="0" w:firstLine="426"/>
        <w:jc w:val="both"/>
      </w:pPr>
      <w:r>
        <w:t>Nepieciešamības gadījumā Pasūtītājam ir tiesības samazināt vai papildināt objektu sarakstu.</w:t>
      </w:r>
    </w:p>
    <w:p>
      <w:pPr>
        <w:numPr>
          <w:numId w:val="0"/>
        </w:numPr>
        <w:spacing w:after="160" w:line="259" w:lineRule="auto"/>
        <w:jc w:val="both"/>
      </w:pPr>
    </w:p>
    <w:p>
      <w:pPr>
        <w:numPr>
          <w:numId w:val="0"/>
        </w:numPr>
        <w:spacing w:after="160" w:line="259" w:lineRule="auto"/>
        <w:jc w:val="both"/>
      </w:pPr>
    </w:p>
    <w:p>
      <w:pPr>
        <w:numPr>
          <w:numId w:val="0"/>
        </w:numPr>
        <w:spacing w:after="160" w:line="259" w:lineRule="auto"/>
        <w:jc w:val="both"/>
      </w:pPr>
    </w:p>
    <w:p>
      <w:pPr>
        <w:numPr>
          <w:numId w:val="0"/>
        </w:numPr>
        <w:spacing w:after="160" w:line="259" w:lineRule="auto"/>
        <w:jc w:val="both"/>
      </w:pPr>
    </w:p>
    <w:p>
      <w:pPr>
        <w:numPr>
          <w:numId w:val="0"/>
        </w:numPr>
        <w:spacing w:after="160" w:line="259" w:lineRule="auto"/>
        <w:jc w:val="both"/>
      </w:pPr>
    </w:p>
    <w:p>
      <w:pPr>
        <w:numPr>
          <w:numId w:val="0"/>
        </w:numPr>
        <w:spacing w:after="160" w:line="259" w:lineRule="auto"/>
        <w:jc w:val="both"/>
      </w:pPr>
      <w:bookmarkStart w:id="33" w:name="_GoBack"/>
      <w:bookmarkEnd w:id="33"/>
    </w:p>
    <w:p>
      <w:pPr>
        <w:suppressAutoHyphens/>
        <w:spacing w:before="120" w:after="0" w:line="240" w:lineRule="auto"/>
        <w:ind w:right="-573" w:rightChars="-239"/>
      </w:pPr>
      <w:r>
        <w:br w:type="page"/>
      </w:r>
    </w:p>
    <w:p>
      <w:pPr>
        <w:suppressAutoHyphens/>
        <w:spacing w:after="0" w:line="240" w:lineRule="auto"/>
        <w:jc w:val="right"/>
        <w:rPr>
          <w:rFonts w:hint="default"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5.1.</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20/6</w:t>
      </w:r>
    </w:p>
    <w:p>
      <w:pPr>
        <w:suppressAutoHyphens/>
        <w:spacing w:before="120" w:after="0" w:line="240" w:lineRule="auto"/>
        <w:ind w:right="-48" w:rightChars="-20"/>
        <w:jc w:val="right"/>
        <w:rPr>
          <w:rFonts w:hint="default" w:eastAsia="Times New Roman" w:cs="Times New Roman"/>
          <w:iCs/>
          <w:color w:val="auto"/>
          <w:sz w:val="22"/>
          <w:lang w:eastAsia="ar-SA"/>
        </w:rPr>
      </w:pPr>
    </w:p>
    <w:p>
      <w:pPr>
        <w:suppressAutoHyphens/>
        <w:spacing w:before="120" w:after="0" w:line="240" w:lineRule="auto"/>
        <w:ind w:right="-48" w:rightChars="-20"/>
        <w:jc w:val="right"/>
        <w:rPr>
          <w:rFonts w:hint="default" w:eastAsia="Times New Roman" w:cs="Times New Roman"/>
          <w:iCs/>
          <w:color w:val="auto"/>
          <w:sz w:val="22"/>
          <w:lang w:eastAsia="ar-SA"/>
        </w:rPr>
      </w:pPr>
    </w:p>
    <w:p>
      <w:pPr>
        <w:tabs>
          <w:tab w:val="left" w:pos="142"/>
        </w:tabs>
        <w:jc w:val="center"/>
        <w:rPr>
          <w:color w:val="auto"/>
          <w:sz w:val="28"/>
          <w:szCs w:val="28"/>
        </w:rPr>
      </w:pPr>
      <w:r>
        <w:rPr>
          <w:b/>
          <w:bCs/>
          <w:color w:val="auto"/>
          <w:sz w:val="28"/>
          <w:szCs w:val="28"/>
        </w:rPr>
        <w:t>Pārbaudāmo objektu adreses, un tehniskie raksturlielumi</w:t>
      </w:r>
      <w:r>
        <w:rPr>
          <w:rFonts w:hint="default"/>
          <w:b/>
          <w:bCs/>
          <w:color w:val="auto"/>
          <w:sz w:val="28"/>
          <w:szCs w:val="28"/>
        </w:rPr>
        <w:t>.</w:t>
      </w:r>
    </w:p>
    <w:p>
      <w:pPr>
        <w:tabs>
          <w:tab w:val="left" w:pos="142"/>
        </w:tabs>
        <w:jc w:val="both"/>
      </w:pPr>
      <w:r>
        <w:t>Pasūtītājs: SIA Dobeles Namsaimnieks</w:t>
      </w:r>
    </w:p>
    <w:p>
      <w:pPr>
        <w:tabs>
          <w:tab w:val="left" w:pos="142"/>
        </w:tabs>
        <w:jc w:val="both"/>
      </w:pPr>
    </w:p>
    <w:p>
      <w:pPr>
        <w:tabs>
          <w:tab w:val="left" w:pos="142"/>
        </w:tabs>
        <w:jc w:val="both"/>
      </w:pPr>
      <w:r>
        <w:t>Izpildītājs: ___________________</w:t>
      </w:r>
    </w:p>
    <w:p>
      <w:pPr>
        <w:tabs>
          <w:tab w:val="left" w:pos="142"/>
        </w:tabs>
        <w:jc w:val="both"/>
      </w:pPr>
    </w:p>
    <w:p>
      <w:pPr>
        <w:tabs>
          <w:tab w:val="left" w:pos="142"/>
        </w:tabs>
        <w:jc w:val="both"/>
      </w:pPr>
      <w:r>
        <w:t>Tāme sastādīta _____. gada tirgus cenās  . Tāmes izmaksas ____________ euro</w:t>
      </w:r>
    </w:p>
    <w:p>
      <w:pPr>
        <w:suppressAutoHyphens/>
        <w:spacing w:before="120" w:after="0" w:line="240" w:lineRule="auto"/>
        <w:ind w:right="-573" w:rightChars="-239"/>
        <w:rPr>
          <w:lang w:eastAsia="ar-SA"/>
        </w:rPr>
      </w:pPr>
    </w:p>
    <w:tbl>
      <w:tblPr>
        <w:tblW w:w="882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859"/>
        <w:gridCol w:w="4134"/>
        <w:gridCol w:w="38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tcBorders>
            <w:vAlign w:val="bottom"/>
          </w:tcPr>
          <w:p>
            <w:pPr>
              <w:autoSpaceDN w:val="0"/>
              <w:jc w:val="center"/>
              <w:textAlignment w:val="bottom"/>
              <w:rPr>
                <w:color w:val="000000"/>
                <w:szCs w:val="24"/>
              </w:rPr>
            </w:pPr>
            <w:r>
              <w:rPr>
                <w:color w:val="000000"/>
                <w:szCs w:val="24"/>
              </w:rPr>
              <w:t>Nr.</w:t>
            </w:r>
          </w:p>
        </w:tc>
        <w:tc>
          <w:tcPr>
            <w:tcW w:w="4134"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b/>
                <w:color w:val="000000"/>
                <w:szCs w:val="24"/>
              </w:rPr>
            </w:pPr>
            <w:r>
              <w:rPr>
                <w:b/>
                <w:color w:val="000000"/>
                <w:szCs w:val="24"/>
              </w:rPr>
              <w:t>Objekta Adrese</w:t>
            </w:r>
          </w:p>
        </w:tc>
        <w:tc>
          <w:tcPr>
            <w:tcW w:w="3834"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b/>
                <w:color w:val="000000"/>
                <w:szCs w:val="24"/>
              </w:rPr>
            </w:pPr>
            <w:r>
              <w:rPr>
                <w:b/>
                <w:color w:val="000000"/>
                <w:szCs w:val="24"/>
              </w:rPr>
              <w:t>m2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1</w:t>
            </w:r>
          </w:p>
        </w:tc>
        <w:tc>
          <w:tcPr>
            <w:tcW w:w="4134" w:type="dxa"/>
            <w:tcBorders>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Atmodas iela 1-15,Dobele</w:t>
            </w:r>
          </w:p>
        </w:tc>
        <w:tc>
          <w:tcPr>
            <w:tcW w:w="3834" w:type="dxa"/>
            <w:tcBorders>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90"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Atmodas iela 1-18,Dobele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Atmodas iela 1-36,Dobele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1-17,Dobele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3-8,Dobele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3-17,Dobele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17-13,Dobele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17-20,Dobele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17-23,Dobele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10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17-29,Dobele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tcBorders>
            <w:vAlign w:val="bottom"/>
          </w:tcPr>
          <w:p>
            <w:pPr>
              <w:autoSpaceDN w:val="0"/>
              <w:jc w:val="center"/>
              <w:textAlignment w:val="bottom"/>
              <w:rPr>
                <w:color w:val="000000"/>
                <w:szCs w:val="24"/>
              </w:rPr>
            </w:pPr>
            <w:r>
              <w:rPr>
                <w:color w:val="000000"/>
                <w:szCs w:val="24"/>
              </w:rPr>
              <w:t>11</w:t>
            </w:r>
          </w:p>
        </w:tc>
        <w:tc>
          <w:tcPr>
            <w:tcW w:w="4134" w:type="dxa"/>
            <w:tcBorders>
              <w:top w:val="single" w:color="000000" w:sz="8" w:space="0"/>
              <w:left w:val="single" w:color="000000" w:sz="8" w:space="0"/>
              <w:right w:val="single" w:color="000000" w:sz="8" w:space="0"/>
            </w:tcBorders>
            <w:vAlign w:val="bottom"/>
          </w:tcPr>
          <w:p>
            <w:pPr>
              <w:autoSpaceDN w:val="0"/>
              <w:textAlignment w:val="bottom"/>
              <w:rPr>
                <w:color w:val="000000"/>
                <w:szCs w:val="24"/>
              </w:rPr>
            </w:pPr>
            <w:r>
              <w:rPr>
                <w:color w:val="000000"/>
                <w:szCs w:val="24"/>
              </w:rPr>
              <w:t>Ausmas iela 17-32,Dobele</w:t>
            </w:r>
          </w:p>
        </w:tc>
        <w:tc>
          <w:tcPr>
            <w:tcW w:w="3834" w:type="dxa"/>
            <w:tcBorders>
              <w:top w:val="single" w:color="000000" w:sz="8" w:space="0"/>
              <w:left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tcBorders>
            <w:vAlign w:val="bottom"/>
          </w:tcPr>
          <w:p>
            <w:pPr>
              <w:autoSpaceDN w:val="0"/>
              <w:jc w:val="center"/>
              <w:textAlignment w:val="bottom"/>
              <w:rPr>
                <w:color w:val="000000"/>
                <w:szCs w:val="24"/>
              </w:rPr>
            </w:pPr>
            <w:r>
              <w:rPr>
                <w:color w:val="000000"/>
                <w:szCs w:val="24"/>
              </w:rPr>
              <w:t>12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19-11,Dobele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w:t>
            </w:r>
          </w:p>
        </w:tc>
        <w:tc>
          <w:tcPr>
            <w:tcW w:w="4134" w:type="dxa"/>
            <w:tcBorders>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20-11,Dobele</w:t>
            </w:r>
          </w:p>
        </w:tc>
        <w:tc>
          <w:tcPr>
            <w:tcW w:w="3834" w:type="dxa"/>
            <w:tcBorders>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20-20,Dobele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20-23,Dobele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20-24,Dobele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21-19,Dobele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21-24,Dobele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23-11,Dobele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Ausmas iela 25-17,Dobele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15-29,Dobele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20-13,Dobele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20-26,Dobele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20-35,Dobele.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23-8,Dobele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23-11,Dobele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23-13,Dobele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23-14,Dobele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23-33,Dobele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23-45,Dobele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23-47,Dobele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23-75,Dobele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23-95,Dobele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23-105,Dobele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25-11,Dobele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J. Čakstes iela 25-26,Dobele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5-1,Dobele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5-24,Dobele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5-29,Dobele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6-13,Dobele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6-14,Dobele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6-28,Dobele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44</w:t>
            </w:r>
          </w:p>
        </w:tc>
        <w:tc>
          <w:tcPr>
            <w:tcW w:w="4134" w:type="dxa"/>
            <w:tcBorders>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6-30,Dobele</w:t>
            </w:r>
          </w:p>
        </w:tc>
        <w:tc>
          <w:tcPr>
            <w:tcW w:w="3834" w:type="dxa"/>
            <w:tcBorders>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10-2,Dobele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10-14,Dobele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10-17,Dobele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Dainu iela 10-39,Dobele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49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7-33,Dobele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7-44,Dobele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8-4,Dobele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9-14,Dobele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10-3,Dobele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10-5,Dobele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13-15,Dobele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13-16,Dobele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59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13-31,Dobele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13-33,Dobele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13-38,Dobele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13-40,Dobele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16-3,Dobele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20-2 ,Dobele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20-10,Dobele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69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20-12,Dobele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20-15,Dobele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20-19,Dobele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22-8 ,Dobele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22-12,Dobele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24-3,Dobele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28-10,Dobele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93.3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77</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28-13,Dobele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78</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28-16,Dobele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79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28-17,Dobele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28-11,Dobele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32-5,Dobele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32-6,Dobele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32-10 ,Dobele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97.1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Bērzes iela 32-18,Dobele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86</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2-2,Dobele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89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99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4-6,Dobele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center"/>
          </w:tcPr>
          <w:p>
            <w:pPr>
              <w:autoSpaceDN w:val="0"/>
              <w:jc w:val="center"/>
              <w:textAlignment w:val="center"/>
              <w:rPr>
                <w:color w:val="000000"/>
                <w:szCs w:val="24"/>
              </w:rPr>
            </w:pPr>
            <w:r>
              <w:rPr>
                <w:color w:val="000000"/>
                <w:szCs w:val="24"/>
              </w:rPr>
              <w:t>100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5-7,Dobele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8-1,Dobele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8-2,Dobele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109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8-3,Dobele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8-5,Dobele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8-6,Dobele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9-4,Dobele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9-6,Dobele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9-7,Dobele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29-5,Dobele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38-1,Dobele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38-2,Dobele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Brīvības iela 38-4,Dobele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119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Elektrības iela 3-3,Dobele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4-3 ,Dobele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4-7,Dobele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4-11 ,Dobele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8-12,Dobele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10-10,Dobele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10-14,Dobele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E. Francmaņa iela 10-24,Dobele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Barona iela 12-15,Dobele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Barona iela 12-37,Dobele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129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Barona iela 12-40,Dobele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1A-2,Dobele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2-5,Dobele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2-12,Dobele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4-14,Dobele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4-21,Dobele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4-23,Dobele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4-69,Dobele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5-17,Dobele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139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8-22,Dobele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8-25,Dobele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8-32,Dobele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8-34,Dobele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8-64,Dobele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8-69,Dobele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8-70,Dobele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149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9-13,Dobele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9-41,Dobele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9-43,Dobele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9-46,Dobele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9-52,Dobele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9-54,Dobele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159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11-16,Dobele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11-35,Dobele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11-49,Dobele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169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11-51,Dobele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13-8,Dobele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13-13,Dobele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13-20,Dobele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13-29,Dobele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Krasta iela 13-36,Dobele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175</w:t>
            </w:r>
          </w:p>
        </w:tc>
        <w:tc>
          <w:tcPr>
            <w:tcW w:w="4134" w:type="dxa"/>
            <w:tcBorders>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2-2,Dobele</w:t>
            </w:r>
          </w:p>
        </w:tc>
        <w:tc>
          <w:tcPr>
            <w:tcW w:w="3834" w:type="dxa"/>
            <w:tcBorders>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9-4,Dobele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9-8,Dobele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9-14,Dobele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179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9-30,Dobele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Kr. Valdemāra iela 11-2,Dobele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Liepu iela 4A-14,Dobele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Liepu iela 4B-10,Dobele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Liepu iela 4B-18,Dobele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Liepu iela 6A-14,Dobele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Liepu iela 10A-23,Dobele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2-41,Dobele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189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2-54,Dobele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4-38,Dobele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4-55,Dobele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4-58,Dobele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4-76,Dobele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4-79,Dobele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6-16,Dobele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199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6-19,Dobele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6-41,Dobele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6-46,Dobele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6-49,Dobele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6-55,Dobele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29-12,Dobele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29-24,Dobele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209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43-3,Dobele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Meža prospekts 45-3,Dobele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1-31,Dobele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1-38,Dobele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219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2-9,Dobele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6-10,Dobele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6-17,Dobele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229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7-5,Dobele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9-14,Dobele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9-20,Dobele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9-22,Dobele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239</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10-4,Dobele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240</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10-17,Dobele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10-27,Dobele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10-46,Dobele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10-54,Dobele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249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251</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11-16,Dobele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252</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11-17,Dobele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253</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11-19,Dobele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254</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11-21,Dobele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255</w:t>
            </w:r>
          </w:p>
        </w:tc>
        <w:tc>
          <w:tcPr>
            <w:tcW w:w="4134" w:type="dxa"/>
            <w:tcBorders>
              <w:top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11-23,Dobele</w:t>
            </w:r>
          </w:p>
        </w:tc>
        <w:tc>
          <w:tcPr>
            <w:tcW w:w="3834" w:type="dxa"/>
            <w:tcBorders>
              <w:top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259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12-36,Dobele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12-48,Dobele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18-1,Dobele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18-8,Dobele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18-9,Dobele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Muldavas iela 18-22,Dobele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Pumpuru iela 1-3,Dobele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Pumpuru iela 1-9,Dobele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267</w:t>
            </w:r>
          </w:p>
        </w:tc>
        <w:tc>
          <w:tcPr>
            <w:tcW w:w="4134" w:type="dxa"/>
            <w:tcBorders>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Robežu iela 23-4,Dobele</w:t>
            </w:r>
          </w:p>
        </w:tc>
        <w:tc>
          <w:tcPr>
            <w:tcW w:w="3834" w:type="dxa"/>
            <w:tcBorders>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5-7,Dobele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269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5-9,Dobele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10-12,Dobele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10-33,Dobele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10-53,Dobele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14-21,Dobele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14-25,Dobele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14-27,Dobele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14-46,Dobele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14-54,Dobele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279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14-63,Dobele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14-67,Dobele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16-11,Dobele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16-18,Dobele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16-26,Dobele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16-36,Dobele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16-50,Dobele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24-1,Dobele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24-19,Dobele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24-23,Dobele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289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24-33,Dobele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24-39,Dobele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291</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26-24,Dobele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292</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26-28,Dobele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293</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26-45,Dobele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294</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26-47,Dobele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295</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26-52,Dobele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296</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26-53,Dobele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297</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26-55,Dobele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35.5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298</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26-64,Dobele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299</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26-65,Dobele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Ex>
        <w:trPr>
          <w:trHeight w:val="285" w:hRule="atLeast"/>
        </w:trPr>
        <w:tc>
          <w:tcPr>
            <w:tcW w:w="859"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color w:val="000000"/>
                <w:szCs w:val="24"/>
              </w:rPr>
              <w:t>300</w:t>
            </w:r>
          </w:p>
        </w:tc>
        <w:tc>
          <w:tcPr>
            <w:tcW w:w="4134" w:type="dxa"/>
            <w:tcBorders>
              <w:top w:val="single" w:color="000000" w:sz="8" w:space="0"/>
              <w:left w:val="single" w:color="000000" w:sz="8" w:space="0"/>
              <w:bottom w:val="single" w:color="000000" w:sz="8" w:space="0"/>
              <w:right w:val="single" w:color="000000" w:sz="8" w:space="0"/>
            </w:tcBorders>
            <w:vAlign w:val="bottom"/>
          </w:tcPr>
          <w:p>
            <w:pPr>
              <w:autoSpaceDN w:val="0"/>
              <w:textAlignment w:val="bottom"/>
              <w:rPr>
                <w:color w:val="000000"/>
                <w:szCs w:val="24"/>
              </w:rPr>
            </w:pPr>
            <w:r>
              <w:rPr>
                <w:color w:val="000000"/>
                <w:szCs w:val="24"/>
              </w:rPr>
              <w:t>Skolas iela 26-84,Dobele</w:t>
            </w:r>
          </w:p>
        </w:tc>
        <w:tc>
          <w:tcPr>
            <w:tcW w:w="3834" w:type="dxa"/>
            <w:tcBorders>
              <w:top w:val="single" w:color="000000" w:sz="8" w:space="0"/>
              <w:left w:val="single" w:color="000000" w:sz="8" w:space="0"/>
              <w:bottom w:val="single" w:color="000000" w:sz="8" w:space="0"/>
              <w:right w:val="single" w:color="000000" w:sz="8" w:space="0"/>
            </w:tcBorders>
            <w:vAlign w:val="bottom"/>
          </w:tcPr>
          <w:p>
            <w:pPr>
              <w:autoSpaceDN w:val="0"/>
              <w:jc w:val="center"/>
              <w:textAlignment w:val="bottom"/>
              <w:rPr>
                <w:color w:val="000000"/>
                <w:szCs w:val="24"/>
              </w:rPr>
            </w:pPr>
            <w:r>
              <w:rPr>
                <w:rFonts w:ascii="Calibri" w:hAnsi="SimSun"/>
                <w:color w:val="000000"/>
                <w:sz w:val="22"/>
              </w:rPr>
              <w:t>53.2</w:t>
            </w:r>
          </w:p>
        </w:tc>
      </w:tr>
    </w:tbl>
    <w:p>
      <w:pPr>
        <w:suppressAutoHyphens/>
        <w:spacing w:before="120" w:after="0" w:line="240" w:lineRule="auto"/>
        <w:ind w:right="-573" w:rightChars="-239"/>
        <w:rPr>
          <w:rFonts w:hint="default" w:eastAsia="Times New Roman" w:cs="Times New Roman"/>
          <w:bCs/>
          <w:i/>
          <w:color w:val="auto"/>
          <w:szCs w:val="24"/>
          <w:lang w:eastAsia="ar-SA"/>
        </w:rPr>
      </w:pPr>
      <w:r>
        <w:rPr>
          <w:rFonts w:hint="default" w:eastAsia="Times New Roman" w:cs="Times New Roman"/>
          <w:bCs/>
          <w:i/>
          <w:color w:val="auto"/>
          <w:szCs w:val="24"/>
          <w:lang w:eastAsia="ar-SA"/>
        </w:rPr>
        <w:t>Kontaktpersonas:</w:t>
      </w:r>
    </w:p>
    <w:p>
      <w:pPr>
        <w:suppressAutoHyphens/>
        <w:spacing w:before="120" w:after="0" w:line="240" w:lineRule="auto"/>
        <w:ind w:right="-573" w:rightChars="-239"/>
        <w:rPr>
          <w:rFonts w:eastAsia="Lucida Sans Unicode" w:cs="Times New Roman"/>
          <w:color w:val="auto"/>
          <w:kern w:val="1"/>
          <w:szCs w:val="20"/>
          <w:lang w:val="en-US"/>
        </w:rPr>
      </w:pPr>
      <w:r>
        <w:rPr>
          <w:rFonts w:hint="default" w:eastAsia="Lucida Sans Unicode" w:cs="Times New Roman"/>
          <w:bCs/>
          <w:color w:val="auto"/>
          <w:kern w:val="1"/>
          <w:szCs w:val="20"/>
        </w:rPr>
        <w:t>N</w:t>
      </w:r>
      <w:r>
        <w:rPr>
          <w:rFonts w:eastAsia="Lucida Sans Unicode" w:cs="Times New Roman"/>
          <w:bCs/>
          <w:color w:val="auto"/>
          <w:kern w:val="1"/>
          <w:szCs w:val="20"/>
          <w:lang w:val="en-US"/>
        </w:rPr>
        <w:t>amu pārzin</w:t>
      </w:r>
      <w:r>
        <w:rPr>
          <w:rFonts w:hint="default" w:eastAsia="Lucida Sans Unicode" w:cs="Times New Roman"/>
          <w:bCs/>
          <w:color w:val="auto"/>
          <w:kern w:val="1"/>
          <w:szCs w:val="20"/>
        </w:rPr>
        <w:t>is</w:t>
      </w:r>
      <w:r>
        <w:rPr>
          <w:rFonts w:eastAsia="Lucida Sans Unicode" w:cs="Times New Roman"/>
          <w:bCs/>
          <w:color w:val="auto"/>
          <w:kern w:val="1"/>
          <w:szCs w:val="20"/>
          <w:lang w:val="en-US"/>
        </w:rPr>
        <w:t xml:space="preserve"> </w:t>
      </w:r>
      <w:r>
        <w:rPr>
          <w:rFonts w:hint="default" w:eastAsia="Lucida Sans Unicode" w:cs="Times New Roman"/>
          <w:bCs/>
          <w:color w:val="auto"/>
          <w:kern w:val="1"/>
          <w:szCs w:val="20"/>
        </w:rPr>
        <w:t>Edgars Kvēps</w:t>
      </w:r>
      <w:r>
        <w:rPr>
          <w:rFonts w:eastAsia="Lucida Sans Unicode" w:cs="Times New Roman"/>
          <w:bCs/>
          <w:color w:val="auto"/>
          <w:kern w:val="1"/>
          <w:szCs w:val="20"/>
          <w:lang w:val="en-US"/>
        </w:rPr>
        <w:t xml:space="preserve">, mobilais telefons </w:t>
      </w:r>
      <w:r>
        <w:rPr>
          <w:rFonts w:hint="default" w:eastAsia="Lucida Sans Unicode" w:cs="Times New Roman"/>
          <w:bCs/>
          <w:color w:val="auto"/>
          <w:kern w:val="1"/>
          <w:szCs w:val="20"/>
        </w:rPr>
        <w:t>26964607</w:t>
      </w:r>
      <w:r>
        <w:rPr>
          <w:rFonts w:eastAsia="Lucida Sans Unicode" w:cs="Times New Roman"/>
          <w:bCs/>
          <w:color w:val="auto"/>
          <w:kern w:val="1"/>
          <w:szCs w:val="20"/>
          <w:lang w:val="en-US"/>
        </w:rPr>
        <w:t xml:space="preserve">, e-pasts: </w:t>
      </w:r>
      <w:r>
        <w:rPr>
          <w:color w:val="auto"/>
        </w:rPr>
        <w:fldChar w:fldCharType="begin"/>
      </w:r>
      <w:r>
        <w:rPr>
          <w:color w:val="auto"/>
        </w:rPr>
        <w:instrText xml:space="preserve">HYPERLINK "mailto:namuparzinis@dobelesnamsaimnieks.lv" </w:instrText>
      </w:r>
      <w:r>
        <w:rPr>
          <w:color w:val="auto"/>
        </w:rPr>
        <w:fldChar w:fldCharType="separate"/>
      </w:r>
      <w:r>
        <w:rPr>
          <w:rStyle w:val="7"/>
          <w:rFonts w:eastAsia="Calibri" w:cs="Times New Roman"/>
          <w:color w:val="auto"/>
          <w:kern w:val="1"/>
          <w:szCs w:val="20"/>
          <w:lang w:val="en-US" w:bidi="en-US"/>
        </w:rPr>
        <w:t>namuparzinis@dobelesnamsaimnieks.lv</w:t>
      </w:r>
      <w:r>
        <w:rPr>
          <w:color w:val="auto"/>
        </w:rPr>
        <w:fldChar w:fldCharType="end"/>
      </w:r>
      <w:r>
        <w:rPr>
          <w:rFonts w:eastAsia="Lucida Sans Unicode" w:cs="Times New Roman"/>
          <w:color w:val="auto"/>
          <w:kern w:val="1"/>
          <w:szCs w:val="20"/>
          <w:lang w:val="en-US"/>
        </w:rPr>
        <w:t>,</w:t>
      </w:r>
    </w:p>
    <w:p>
      <w:pPr>
        <w:suppressAutoHyphens/>
        <w:spacing w:before="120" w:after="0" w:line="240" w:lineRule="auto"/>
        <w:ind w:right="-573" w:rightChars="-239"/>
        <w:rPr>
          <w:rFonts w:eastAsia="Times New Roman" w:cs="Times New Roman"/>
          <w:bCs/>
          <w:i/>
          <w:color w:val="FF0000"/>
          <w:szCs w:val="24"/>
          <w:lang w:eastAsia="ar-SA"/>
        </w:rPr>
      </w:pPr>
      <w:r>
        <w:rPr>
          <w:rFonts w:hint="default" w:eastAsia="Lucida Sans Unicode" w:cs="Times New Roman"/>
          <w:color w:val="auto"/>
          <w:kern w:val="1"/>
          <w:szCs w:val="20"/>
        </w:rPr>
        <w:t xml:space="preserve">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7"/>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after="0" w:line="240" w:lineRule="auto"/>
        <w:jc w:val="right"/>
        <w:rPr>
          <w:rFonts w:hint="default"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5.2.</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20/6</w:t>
      </w:r>
    </w:p>
    <w:p>
      <w:pPr>
        <w:suppressAutoHyphens/>
        <w:spacing w:before="120" w:after="0" w:line="240" w:lineRule="auto"/>
        <w:ind w:right="-573" w:rightChars="-239"/>
        <w:rPr>
          <w:rFonts w:eastAsia="Times New Roman" w:cs="Times New Roman"/>
          <w:bCs/>
          <w:i/>
          <w:color w:val="FF0000"/>
          <w:szCs w:val="24"/>
          <w:lang w:eastAsia="ar-SA"/>
        </w:rPr>
      </w:pPr>
    </w:p>
    <w:p>
      <w:pPr>
        <w:jc w:val="center"/>
        <w:rPr>
          <w:b/>
          <w:color w:val="auto"/>
          <w:sz w:val="28"/>
          <w:szCs w:val="28"/>
        </w:rPr>
      </w:pPr>
      <w:r>
        <w:rPr>
          <w:b/>
          <w:color w:val="auto"/>
          <w:sz w:val="28"/>
          <w:szCs w:val="28"/>
        </w:rPr>
        <w:t>Tehniskais piedāvājums</w:t>
      </w:r>
    </w:p>
    <w:p>
      <w:pPr>
        <w:ind w:left="142" w:firstLine="567"/>
        <w:jc w:val="both"/>
        <w:rPr>
          <w:color w:val="auto"/>
        </w:rPr>
      </w:pPr>
    </w:p>
    <w:p>
      <w:pPr>
        <w:ind w:left="142" w:firstLine="567"/>
        <w:jc w:val="both"/>
        <w:rPr>
          <w:color w:val="auto"/>
        </w:rPr>
      </w:pPr>
      <w:r>
        <w:rPr>
          <w:color w:val="auto"/>
        </w:rPr>
        <w:t xml:space="preserve">Tehniskais piedāvājums jāsagatavo brīvā aprakstošā formā saskaņā ar Tehnisko specifikāciju (1.pielikums). Tehniskajā piedāvājumā jāapraksta visas darbības kā tās tiks nodrošinātas (jāiekļauj visas tehniskās specifikācijas sadaļas) un vai vispār tiks nodrošinātas (no apraksta Komisijai jābūt pārliecinātai, ka visi nosacījumi tiks izdarīti un kā tiks izdarīti). </w:t>
      </w:r>
    </w:p>
    <w:p>
      <w:pPr>
        <w:tabs>
          <w:tab w:val="left" w:pos="120"/>
        </w:tabs>
        <w:ind w:left="142" w:firstLine="567"/>
        <w:jc w:val="both"/>
        <w:rPr>
          <w:color w:val="auto"/>
          <w:u w:val="single"/>
        </w:rPr>
      </w:pPr>
      <w:r>
        <w:rPr>
          <w:color w:val="auto"/>
          <w:u w:val="single"/>
        </w:rPr>
        <w:t>Tehniskajā piedāvājumā jāiekļauj:</w:t>
      </w:r>
    </w:p>
    <w:p>
      <w:pPr>
        <w:pStyle w:val="8"/>
        <w:numPr>
          <w:ilvl w:val="2"/>
          <w:numId w:val="34"/>
        </w:numPr>
        <w:tabs>
          <w:tab w:val="left" w:pos="851"/>
          <w:tab w:val="left" w:pos="1134"/>
        </w:tabs>
        <w:ind w:left="993" w:hanging="11"/>
        <w:jc w:val="both"/>
        <w:rPr>
          <w:color w:val="auto"/>
        </w:rPr>
      </w:pPr>
      <w:r>
        <w:rPr>
          <w:color w:val="auto"/>
        </w:rPr>
        <w:t xml:space="preserve">Darbu izpildes Laika grafiks, detalizācijas pakāpe – nedēļa, iekļaujot visus objektus minētajās adresēs (no objektu saraksta). Pretendentam </w:t>
      </w:r>
      <w:r>
        <w:rPr>
          <w:b w:val="0"/>
          <w:bCs w:val="0"/>
          <w:color w:val="auto"/>
        </w:rPr>
        <w:t>Mērījumi daudzdzīvokļu dzīvojamo māju pašvaldības dzīvojamās telpās</w:t>
      </w:r>
      <w:r>
        <w:rPr>
          <w:rFonts w:hint="default"/>
          <w:b w:val="0"/>
          <w:bCs w:val="0"/>
          <w:color w:val="auto"/>
        </w:rPr>
        <w:t xml:space="preserve"> jāveic </w:t>
      </w:r>
      <w:r>
        <w:rPr>
          <w:b w:val="0"/>
          <w:bCs w:val="0"/>
          <w:color w:val="auto"/>
        </w:rPr>
        <w:t>līdz 20</w:t>
      </w:r>
      <w:r>
        <w:rPr>
          <w:rFonts w:hint="default"/>
          <w:b w:val="0"/>
          <w:bCs w:val="0"/>
          <w:color w:val="auto"/>
        </w:rPr>
        <w:t>20</w:t>
      </w:r>
      <w:r>
        <w:rPr>
          <w:b w:val="0"/>
          <w:bCs w:val="0"/>
          <w:color w:val="auto"/>
        </w:rPr>
        <w:t>.gada 30.novembrim.</w:t>
      </w:r>
    </w:p>
    <w:p>
      <w:pPr>
        <w:pStyle w:val="8"/>
        <w:numPr>
          <w:ilvl w:val="2"/>
          <w:numId w:val="34"/>
        </w:numPr>
        <w:tabs>
          <w:tab w:val="left" w:pos="851"/>
          <w:tab w:val="left" w:pos="1134"/>
        </w:tabs>
        <w:ind w:left="993" w:hanging="11"/>
        <w:jc w:val="both"/>
        <w:rPr>
          <w:color w:val="auto"/>
        </w:rPr>
      </w:pPr>
      <w:r>
        <w:rPr>
          <w:color w:val="auto"/>
        </w:rPr>
        <w:t xml:space="preserve">Jāiekļauj </w:t>
      </w:r>
      <w:r>
        <w:rPr>
          <w:b/>
          <w:color w:val="auto"/>
        </w:rPr>
        <w:t>Apliecinājums</w:t>
      </w:r>
      <w:r>
        <w:rPr>
          <w:color w:val="auto"/>
        </w:rPr>
        <w:t>, ka elektriskās vienlīniju shēmas tiks sastādītas tikai ar sertificēta elektroietaišu projektētāja palīdzību. Uzņēmumam jābūt visam izmantotam CAD datorprogrammatūras licencēm.</w:t>
      </w:r>
    </w:p>
    <w:p>
      <w:pPr>
        <w:jc w:val="center"/>
        <w:rPr>
          <w:b/>
          <w:color w:val="FF0000"/>
          <w:sz w:val="28"/>
          <w:szCs w:val="28"/>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48" w:rightChars="-20"/>
        <w:jc w:val="right"/>
        <w:rPr>
          <w:rFonts w:eastAsia="Times New Roman" w:cs="Times New Roman"/>
          <w:bCs/>
          <w:iCs/>
          <w:color w:val="auto"/>
          <w:szCs w:val="24"/>
          <w:lang w:eastAsia="ar-SA"/>
        </w:rPr>
      </w:pPr>
      <w:r>
        <w:rPr>
          <w:rFonts w:eastAsia="Times New Roman" w:cs="Times New Roman"/>
          <w:bCs/>
          <w:iCs/>
          <w:color w:val="auto"/>
          <w:szCs w:val="24"/>
          <w:lang w:eastAsia="ar-SA"/>
        </w:rPr>
        <w:t>Nolikuma pielikums Nr.</w:t>
      </w:r>
      <w:r>
        <w:rPr>
          <w:rFonts w:hint="default" w:eastAsia="Times New Roman" w:cs="Times New Roman"/>
          <w:bCs/>
          <w:iCs/>
          <w:color w:val="auto"/>
          <w:szCs w:val="24"/>
          <w:lang w:eastAsia="ar-SA"/>
        </w:rPr>
        <w:t>6</w:t>
      </w:r>
    </w:p>
    <w:p>
      <w:pPr>
        <w:suppressAutoHyphens/>
        <w:spacing w:after="0" w:line="240" w:lineRule="auto"/>
        <w:ind w:right="-48" w:rightChars="-20"/>
        <w:jc w:val="right"/>
        <w:rPr>
          <w:rFonts w:eastAsia="Times New Roman" w:cs="Times New Roman"/>
          <w:iCs/>
          <w:color w:val="auto"/>
          <w:szCs w:val="24"/>
          <w:lang w:eastAsia="ar-SA"/>
        </w:rPr>
      </w:pPr>
      <w:r>
        <w:rPr>
          <w:rFonts w:eastAsia="Times New Roman" w:cs="Times New Roman"/>
          <w:iCs/>
          <w:color w:val="auto"/>
          <w:szCs w:val="24"/>
          <w:lang w:eastAsia="ar-SA"/>
        </w:rPr>
        <w:t xml:space="preserve">SIA “DOBELES NAMSAIMNIEKS” izsludinātajā iepirkumā </w:t>
      </w:r>
    </w:p>
    <w:p>
      <w:pPr>
        <w:suppressAutoHyphens/>
        <w:spacing w:after="0" w:line="240" w:lineRule="auto"/>
        <w:ind w:right="-48" w:rightChars="-20"/>
        <w:jc w:val="right"/>
        <w:rPr>
          <w:rFonts w:eastAsia="Times New Roman" w:cs="Times New Roman"/>
          <w:iCs/>
          <w:color w:val="auto"/>
          <w:szCs w:val="24"/>
          <w:lang w:eastAsia="ar-SA"/>
        </w:rPr>
      </w:pPr>
      <w:r>
        <w:rPr>
          <w:rFonts w:eastAsia="Times New Roman" w:cs="Times New Roman"/>
          <w:iCs/>
          <w:color w:val="auto"/>
          <w:szCs w:val="24"/>
          <w:lang w:eastAsia="ar-SA"/>
        </w:rPr>
        <w:t>ID Nr. SIA DN 20</w:t>
      </w:r>
      <w:r>
        <w:rPr>
          <w:rFonts w:hint="default" w:eastAsia="Times New Roman" w:cs="Times New Roman"/>
          <w:iCs/>
          <w:color w:val="auto"/>
          <w:szCs w:val="24"/>
          <w:lang w:eastAsia="ar-SA"/>
        </w:rPr>
        <w:t>20</w:t>
      </w:r>
      <w:r>
        <w:rPr>
          <w:rFonts w:eastAsia="Times New Roman" w:cs="Times New Roman"/>
          <w:iCs/>
          <w:color w:val="auto"/>
          <w:szCs w:val="24"/>
          <w:lang w:eastAsia="ar-SA"/>
        </w:rPr>
        <w:t>/</w:t>
      </w:r>
      <w:r>
        <w:rPr>
          <w:rFonts w:hint="default" w:eastAsia="Times New Roman" w:cs="Times New Roman"/>
          <w:iCs/>
          <w:color w:val="auto"/>
          <w:szCs w:val="24"/>
          <w:lang w:eastAsia="ar-SA"/>
        </w:rPr>
        <w:t>6</w:t>
      </w:r>
    </w:p>
    <w:p>
      <w:pPr>
        <w:suppressAutoHyphens/>
        <w:spacing w:after="0" w:line="240" w:lineRule="auto"/>
        <w:ind w:right="-48" w:rightChars="-20"/>
        <w:jc w:val="both"/>
        <w:rPr>
          <w:color w:val="auto"/>
        </w:rPr>
      </w:pP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p>
    <w:p>
      <w:pPr>
        <w:ind w:left="360"/>
        <w:jc w:val="right"/>
        <w:rPr>
          <w:b/>
          <w:color w:val="auto"/>
        </w:rPr>
      </w:pPr>
      <w:r>
        <w:rPr>
          <w:b/>
          <w:color w:val="auto"/>
        </w:rPr>
        <w:t>PROJEKTS</w:t>
      </w:r>
    </w:p>
    <w:p>
      <w:pPr>
        <w:spacing w:before="120"/>
        <w:jc w:val="center"/>
        <w:rPr>
          <w:b/>
          <w:color w:val="auto"/>
        </w:rPr>
      </w:pPr>
      <w:r>
        <w:rPr>
          <w:b/>
          <w:color w:val="auto"/>
        </w:rPr>
        <w:t>PAKALPOJUMA LĪGUMS Nr. ___________________</w:t>
      </w:r>
    </w:p>
    <w:p>
      <w:pPr>
        <w:spacing w:before="120"/>
        <w:rPr>
          <w:color w:val="auto"/>
        </w:rPr>
      </w:pPr>
    </w:p>
    <w:p>
      <w:pPr>
        <w:suppressAutoHyphens/>
        <w:overflowPunct w:val="0"/>
        <w:autoSpaceDE w:val="0"/>
        <w:ind w:right="141" w:firstLine="720"/>
        <w:jc w:val="both"/>
        <w:textAlignment w:val="baseline"/>
        <w:rPr>
          <w:b/>
          <w:color w:val="auto"/>
          <w:lang w:eastAsia="zh-CN"/>
        </w:rPr>
      </w:pPr>
      <w:r>
        <w:rPr>
          <w:b/>
          <w:color w:val="auto"/>
        </w:rPr>
        <w:t>SIA „DOBELES NAMSAIMNIEKS”</w:t>
      </w:r>
      <w:r>
        <w:rPr>
          <w:color w:val="auto"/>
        </w:rPr>
        <w:t>, reģ. Nr. 48503021348</w:t>
      </w:r>
      <w:r>
        <w:rPr>
          <w:color w:val="auto"/>
          <w:lang w:eastAsia="zh-CN"/>
        </w:rPr>
        <w:t xml:space="preserve">, adrese: </w:t>
      </w:r>
      <w:r>
        <w:rPr>
          <w:color w:val="auto"/>
        </w:rPr>
        <w:t>Zaļā iela 3, Dobele, Dobeles novads, LV-3701</w:t>
      </w:r>
      <w:r>
        <w:rPr>
          <w:color w:val="auto"/>
          <w:lang w:eastAsia="zh-CN"/>
        </w:rPr>
        <w:t xml:space="preserve">, tās valdes locekļa Jāņa Audzēviča personā, kurš darbojas saskaņā ar Statūtiem, turpmāk tekstā saukts </w:t>
      </w:r>
      <w:r>
        <w:rPr>
          <w:b/>
          <w:color w:val="auto"/>
          <w:lang w:eastAsia="zh-CN"/>
        </w:rPr>
        <w:t>Pasūtītājs</w:t>
      </w:r>
      <w:r>
        <w:rPr>
          <w:color w:val="auto"/>
          <w:lang w:eastAsia="zh-CN"/>
        </w:rPr>
        <w:t xml:space="preserve">, no vienas puses, un </w:t>
      </w:r>
    </w:p>
    <w:p>
      <w:pPr>
        <w:suppressAutoHyphens/>
        <w:overflowPunct w:val="0"/>
        <w:autoSpaceDE w:val="0"/>
        <w:ind w:right="141" w:firstLine="720"/>
        <w:jc w:val="both"/>
        <w:textAlignment w:val="baseline"/>
        <w:rPr>
          <w:color w:val="auto"/>
          <w:lang w:eastAsia="zh-CN"/>
        </w:rPr>
      </w:pPr>
      <w:r>
        <w:rPr>
          <w:b/>
          <w:color w:val="auto"/>
          <w:lang w:eastAsia="zh-CN"/>
        </w:rPr>
        <w:t>SIA “______”</w:t>
      </w:r>
      <w:r>
        <w:rPr>
          <w:color w:val="auto"/>
          <w:lang w:eastAsia="zh-CN"/>
        </w:rPr>
        <w:t>, reģ. Nr.______, adrese: _______tās _________, kurš darbojas saskaņā ar  Sabiedrības statūtiem, turpmāk tekstā saukts</w:t>
      </w:r>
      <w:r>
        <w:rPr>
          <w:b/>
          <w:color w:val="auto"/>
          <w:lang w:eastAsia="zh-CN"/>
        </w:rPr>
        <w:t xml:space="preserve"> Izpildītājs</w:t>
      </w:r>
      <w:r>
        <w:rPr>
          <w:color w:val="auto"/>
          <w:lang w:eastAsia="zh-CN"/>
        </w:rPr>
        <w:t>, no otras puses, turpmāk tekstā saukti kopā un atsevišķi Puses, Puse, savstarpēji vienojoties noslēdz  līgumu, turpmāk tekstā saukts – Līgums, par sekojošo:</w:t>
      </w:r>
    </w:p>
    <w:p>
      <w:pPr>
        <w:suppressAutoHyphens/>
        <w:overflowPunct w:val="0"/>
        <w:autoSpaceDE w:val="0"/>
        <w:ind w:right="141" w:firstLine="720"/>
        <w:jc w:val="both"/>
        <w:textAlignment w:val="baseline"/>
        <w:rPr>
          <w:color w:val="auto"/>
          <w:lang w:eastAsia="zh-CN"/>
        </w:rPr>
      </w:pPr>
    </w:p>
    <w:p>
      <w:pPr>
        <w:numPr>
          <w:ilvl w:val="0"/>
          <w:numId w:val="35"/>
        </w:numPr>
        <w:suppressAutoHyphens/>
        <w:overflowPunct w:val="0"/>
        <w:autoSpaceDE w:val="0"/>
        <w:ind w:left="720" w:right="-416"/>
        <w:contextualSpacing/>
        <w:jc w:val="center"/>
        <w:textAlignment w:val="baseline"/>
        <w:rPr>
          <w:color w:val="auto"/>
          <w:lang w:eastAsia="zh-CN"/>
        </w:rPr>
      </w:pPr>
      <w:r>
        <w:rPr>
          <w:b/>
          <w:color w:val="auto"/>
          <w:lang w:eastAsia="zh-CN"/>
        </w:rPr>
        <w:t>Līguma priekšmets</w:t>
      </w:r>
    </w:p>
    <w:p>
      <w:pPr>
        <w:numPr>
          <w:ilvl w:val="0"/>
          <w:numId w:val="36"/>
        </w:numPr>
        <w:suppressAutoHyphens/>
        <w:overflowPunct w:val="0"/>
        <w:autoSpaceDE w:val="0"/>
        <w:ind w:left="425" w:leftChars="0" w:hanging="425" w:firstLineChars="0"/>
        <w:contextualSpacing/>
        <w:jc w:val="both"/>
        <w:textAlignment w:val="baseline"/>
        <w:rPr>
          <w:color w:val="auto"/>
        </w:rPr>
      </w:pPr>
      <w:r>
        <w:rPr>
          <w:color w:val="auto"/>
          <w:lang w:eastAsia="zh-CN"/>
        </w:rPr>
        <w:t xml:space="preserve"> Pasūtītājs uzdod, bet Izpildītājs par Līgumā noteikto atlīdzību, ar saviem materiāliem, darbarīkiem, ierīcēm un darbaspēku uzņemas veikt</w:t>
      </w:r>
      <w:r>
        <w:rPr>
          <w:color w:val="auto"/>
        </w:rPr>
        <w:t xml:space="preserve"> </w:t>
      </w:r>
      <w:r>
        <w:rPr>
          <w:b/>
          <w:bCs/>
          <w:color w:val="auto"/>
        </w:rPr>
        <w:t>Elektroapgādes  sistēmu mērījumi SIA “DOBELES NAMSAIMNIEKS” apsaimniekojamos objektos: daudzdzīvokļu dzīvojamo māju koplietošanas telpās un pašvaldības dzīvokļos</w:t>
      </w:r>
      <w:r>
        <w:rPr>
          <w:color w:val="auto"/>
        </w:rPr>
        <w:t xml:space="preserve">, </w:t>
      </w:r>
      <w:r>
        <w:rPr>
          <w:color w:val="auto"/>
          <w:lang w:eastAsia="zh-CN"/>
        </w:rPr>
        <w:t xml:space="preserve">turpmāk tekstā – </w:t>
      </w:r>
      <w:r>
        <w:rPr>
          <w:color w:val="auto"/>
        </w:rPr>
        <w:t>virzīt j</w:t>
      </w:r>
      <w:r>
        <w:rPr>
          <w:color w:val="auto"/>
          <w:lang w:eastAsia="zh-CN"/>
        </w:rPr>
        <w:t>Darbi.</w:t>
      </w:r>
    </w:p>
    <w:p>
      <w:pPr>
        <w:numPr>
          <w:ilvl w:val="0"/>
          <w:numId w:val="36"/>
        </w:numPr>
        <w:suppressAutoHyphens/>
        <w:overflowPunct w:val="0"/>
        <w:autoSpaceDE w:val="0"/>
        <w:ind w:left="425" w:leftChars="0" w:hanging="425" w:firstLineChars="0"/>
        <w:contextualSpacing/>
        <w:jc w:val="both"/>
        <w:textAlignment w:val="baseline"/>
        <w:rPr>
          <w:color w:val="auto"/>
        </w:rPr>
      </w:pPr>
      <w:r>
        <w:rPr>
          <w:color w:val="auto"/>
        </w:rPr>
        <w:t>Izpildītājs Darbus veic objektos, saskaņā ar Pasūtītāja iesniegto objektu sarakstu, turpmāk tekstā – Objekts.</w:t>
      </w:r>
    </w:p>
    <w:p>
      <w:pPr>
        <w:numPr>
          <w:ilvl w:val="0"/>
          <w:numId w:val="36"/>
        </w:numPr>
        <w:suppressAutoHyphens/>
        <w:overflowPunct w:val="0"/>
        <w:autoSpaceDE w:val="0"/>
        <w:ind w:left="425" w:leftChars="0" w:hanging="425" w:firstLineChars="0"/>
        <w:contextualSpacing/>
        <w:jc w:val="both"/>
        <w:textAlignment w:val="baseline"/>
        <w:rPr>
          <w:color w:val="auto"/>
        </w:rPr>
      </w:pPr>
      <w:r>
        <w:rPr>
          <w:color w:val="auto"/>
        </w:rPr>
        <w:t>Izpildītājs Darbus uzņemas veikt Līgumā un Latvijas Republikā normatīvajos aktos noteiktajā kārtībā, Pasūtītāja noteiktajos termiņos un pienācīgā kvalitātē saskaņā ar finanšu piedāvājumu (</w:t>
      </w:r>
      <w:r>
        <w:rPr>
          <w:rFonts w:hint="default"/>
          <w:color w:val="auto"/>
        </w:rPr>
        <w:t>2</w:t>
      </w:r>
      <w:r>
        <w:rPr>
          <w:color w:val="auto"/>
        </w:rPr>
        <w:t>.pielikums), darbu izpildes laika grafiku</w:t>
      </w:r>
      <w:r>
        <w:rPr>
          <w:rFonts w:hint="default"/>
          <w:color w:val="auto"/>
        </w:rPr>
        <w:t xml:space="preserve"> </w:t>
      </w:r>
      <w:r>
        <w:rPr>
          <w:color w:val="auto"/>
        </w:rPr>
        <w:t xml:space="preserve"> (</w:t>
      </w:r>
      <w:r>
        <w:rPr>
          <w:rFonts w:hint="default"/>
          <w:color w:val="auto"/>
        </w:rPr>
        <w:t>3</w:t>
      </w:r>
      <w:r>
        <w:rPr>
          <w:color w:val="auto"/>
        </w:rPr>
        <w:t>.pielikums), tehnisko piedāvājumu, tai skaitā tehnisko specifikāciju (</w:t>
      </w:r>
      <w:r>
        <w:rPr>
          <w:rFonts w:hint="default"/>
          <w:color w:val="auto"/>
        </w:rPr>
        <w:t>4</w:t>
      </w:r>
      <w:r>
        <w:rPr>
          <w:color w:val="auto"/>
        </w:rPr>
        <w:t>.pielikums), kas uzskatāmi par Līguma neatņemamām sastāvdaļām.</w:t>
      </w:r>
    </w:p>
    <w:p>
      <w:pPr>
        <w:numPr>
          <w:ilvl w:val="0"/>
          <w:numId w:val="36"/>
        </w:numPr>
        <w:suppressAutoHyphens/>
        <w:overflowPunct w:val="0"/>
        <w:autoSpaceDE w:val="0"/>
        <w:ind w:left="425" w:leftChars="0" w:hanging="425" w:firstLineChars="0"/>
        <w:contextualSpacing/>
        <w:jc w:val="both"/>
        <w:textAlignment w:val="baseline"/>
        <w:rPr>
          <w:color w:val="auto"/>
        </w:rPr>
      </w:pPr>
      <w:r>
        <w:rPr>
          <w:color w:val="auto"/>
        </w:rPr>
        <w:t>Izpildītājs  apliecina, ka ir pienācīgi iepazinies ar veicamajiem Darbiem, tajā skaitā ar tajā ietvertajiem risinājumiem, Darbu apjomiem, prasībām, kā arī ar Objektu, un atsakās saistībā ar to izebkāda satura iebildumus vai pretenzijas.</w:t>
      </w:r>
    </w:p>
    <w:p>
      <w:pPr>
        <w:tabs>
          <w:tab w:val="left" w:pos="426"/>
        </w:tabs>
        <w:suppressAutoHyphens/>
        <w:ind w:left="567" w:hanging="567"/>
        <w:jc w:val="both"/>
        <w:rPr>
          <w:color w:val="auto"/>
        </w:rPr>
      </w:pPr>
    </w:p>
    <w:p>
      <w:pPr>
        <w:numPr>
          <w:ilvl w:val="0"/>
          <w:numId w:val="35"/>
        </w:numPr>
        <w:suppressAutoHyphens/>
        <w:overflowPunct w:val="0"/>
        <w:autoSpaceDE w:val="0"/>
        <w:ind w:left="720" w:right="-416"/>
        <w:contextualSpacing/>
        <w:jc w:val="center"/>
        <w:textAlignment w:val="baseline"/>
        <w:rPr>
          <w:color w:val="auto"/>
          <w:lang w:eastAsia="zh-CN"/>
        </w:rPr>
      </w:pPr>
      <w:r>
        <w:rPr>
          <w:b/>
          <w:color w:val="auto"/>
          <w:lang w:eastAsia="zh-CN"/>
        </w:rPr>
        <w:t>Līgumcena un norēķinu kārtība</w:t>
      </w:r>
    </w:p>
    <w:p>
      <w:pPr>
        <w:numPr>
          <w:ilvl w:val="0"/>
          <w:numId w:val="37"/>
        </w:numPr>
        <w:tabs>
          <w:tab w:val="left" w:pos="-426"/>
          <w:tab w:val="left" w:pos="795"/>
        </w:tabs>
        <w:ind w:left="425" w:leftChars="0" w:hanging="425" w:firstLineChars="0"/>
        <w:jc w:val="both"/>
        <w:rPr>
          <w:color w:val="auto"/>
        </w:rPr>
      </w:pPr>
      <w:r>
        <w:rPr>
          <w:color w:val="auto"/>
        </w:rPr>
        <w:t xml:space="preserve">Par Darbu izpildi Pasūtītājs samaksā Izpildītājam samaksu </w:t>
      </w:r>
      <w:r>
        <w:rPr>
          <w:b/>
          <w:bCs/>
          <w:color w:val="auto"/>
        </w:rPr>
        <w:t>EUR ____</w:t>
      </w:r>
      <w:r>
        <w:rPr>
          <w:bCs/>
          <w:iCs/>
          <w:color w:val="auto"/>
        </w:rPr>
        <w:t xml:space="preserve">(_____ </w:t>
      </w:r>
      <w:r>
        <w:rPr>
          <w:bCs/>
          <w:i/>
          <w:iCs/>
          <w:color w:val="auto"/>
        </w:rPr>
        <w:t>euro</w:t>
      </w:r>
      <w:r>
        <w:rPr>
          <w:bCs/>
          <w:iCs/>
          <w:color w:val="auto"/>
        </w:rPr>
        <w:t xml:space="preserve"> ____ centi)</w:t>
      </w:r>
      <w:r>
        <w:rPr>
          <w:bCs/>
          <w:color w:val="auto"/>
        </w:rPr>
        <w:t xml:space="preserve">, </w:t>
      </w:r>
      <w:r>
        <w:rPr>
          <w:color w:val="auto"/>
        </w:rPr>
        <w:t xml:space="preserve">bez pievienotās vērtības nodokļa (PVN), </w:t>
      </w:r>
      <w:r>
        <w:rPr>
          <w:bCs/>
          <w:color w:val="auto"/>
        </w:rPr>
        <w:t xml:space="preserve">turpmāk tekstā </w:t>
      </w:r>
      <w:r>
        <w:rPr>
          <w:b/>
          <w:color w:val="auto"/>
        </w:rPr>
        <w:t>Līgumcena</w:t>
      </w:r>
      <w:r>
        <w:rPr>
          <w:color w:val="auto"/>
        </w:rPr>
        <w:t xml:space="preserve">. Izpildītājam nav tiesību prasīt Līgumcenas paaugstināšanu inflācijas u.c. apstākļu dēļ. </w:t>
      </w:r>
    </w:p>
    <w:p>
      <w:pPr>
        <w:numPr>
          <w:ilvl w:val="0"/>
          <w:numId w:val="37"/>
        </w:numPr>
        <w:tabs>
          <w:tab w:val="left" w:pos="-426"/>
          <w:tab w:val="left" w:pos="795"/>
        </w:tabs>
        <w:ind w:left="425" w:leftChars="0" w:hanging="425" w:firstLineChars="0"/>
        <w:jc w:val="both"/>
        <w:rPr>
          <w:color w:val="auto"/>
        </w:rPr>
      </w:pPr>
      <w:r>
        <w:rPr>
          <w:color w:val="auto"/>
        </w:rPr>
        <w:t>Pakalpojuma cenā ietilpst visi Izpildītāja izdevumi, kas saistīti ar Pakalpojuma izpildi, speciālistu atalgojums, kā arī citas izmaksas un izdevumi, kas Izpildītājam var rasties Līguma darbības laikā</w:t>
      </w:r>
    </w:p>
    <w:p>
      <w:pPr>
        <w:numPr>
          <w:ilvl w:val="0"/>
          <w:numId w:val="37"/>
        </w:numPr>
        <w:tabs>
          <w:tab w:val="left" w:pos="-426"/>
          <w:tab w:val="left" w:pos="795"/>
        </w:tabs>
        <w:ind w:left="425" w:leftChars="0" w:hanging="425" w:firstLineChars="0"/>
        <w:jc w:val="both"/>
        <w:rPr>
          <w:color w:val="auto"/>
        </w:rPr>
      </w:pPr>
      <w:r>
        <w:rPr>
          <w:color w:val="auto"/>
        </w:rPr>
        <w:t xml:space="preserve">Beidzamo maksājumu Pasūtītājs samaksā 15 (piecpadsmit) darba dienu laikā pēc būvuzrauga rakstveidā akceptētas atskaites (Forma Nr.2) par kvalitatīvi un termiņā izpildītajiem Darbiem saņemšanas un pieņemšanas - nodošanas akta parakstīšanas par visu Līgumā minēto Darbu izpildi, kā arī pēc Izpildītāja rēķina saņemšanas. </w:t>
      </w:r>
    </w:p>
    <w:p>
      <w:pPr>
        <w:suppressAutoHyphens/>
        <w:overflowPunct w:val="0"/>
        <w:autoSpaceDE w:val="0"/>
        <w:ind w:left="360" w:right="-416"/>
        <w:contextualSpacing/>
        <w:textAlignment w:val="baseline"/>
        <w:rPr>
          <w:color w:val="auto"/>
          <w:lang w:eastAsia="zh-CN"/>
        </w:rPr>
      </w:pPr>
    </w:p>
    <w:p>
      <w:pPr>
        <w:numPr>
          <w:ilvl w:val="0"/>
          <w:numId w:val="35"/>
        </w:numPr>
        <w:suppressAutoHyphens/>
        <w:overflowPunct w:val="0"/>
        <w:autoSpaceDE w:val="0"/>
        <w:ind w:left="720"/>
        <w:contextualSpacing/>
        <w:jc w:val="center"/>
        <w:textAlignment w:val="baseline"/>
        <w:rPr>
          <w:color w:val="auto"/>
          <w:lang w:eastAsia="zh-CN"/>
        </w:rPr>
      </w:pPr>
      <w:r>
        <w:rPr>
          <w:b/>
          <w:color w:val="auto"/>
          <w:lang w:eastAsia="zh-CN"/>
        </w:rPr>
        <w:t>Darbu izpildes termiņi</w:t>
      </w:r>
    </w:p>
    <w:p>
      <w:pPr>
        <w:numPr>
          <w:ilvl w:val="0"/>
          <w:numId w:val="38"/>
        </w:numPr>
        <w:suppressAutoHyphens/>
        <w:overflowPunct w:val="0"/>
        <w:autoSpaceDE w:val="0"/>
        <w:ind w:left="425" w:leftChars="0" w:hanging="425" w:firstLineChars="0"/>
        <w:contextualSpacing/>
        <w:jc w:val="both"/>
        <w:textAlignment w:val="baseline"/>
        <w:rPr>
          <w:color w:val="auto"/>
          <w:lang w:eastAsia="zh-CN"/>
        </w:rPr>
      </w:pPr>
      <w:r>
        <w:rPr>
          <w:color w:val="auto"/>
          <w:lang w:eastAsia="zh-CN"/>
        </w:rPr>
        <w:t>Līgumā noteikto Darbu izpildes sākuma termiņš ir</w:t>
      </w:r>
      <w:r>
        <w:rPr>
          <w:b/>
          <w:color w:val="auto"/>
          <w:lang w:eastAsia="zh-CN"/>
        </w:rPr>
        <w:t xml:space="preserve"> 20</w:t>
      </w:r>
      <w:r>
        <w:rPr>
          <w:rFonts w:hint="default"/>
          <w:b/>
          <w:color w:val="auto"/>
          <w:lang w:eastAsia="zh-CN"/>
        </w:rPr>
        <w:t>20</w:t>
      </w:r>
      <w:r>
        <w:rPr>
          <w:b/>
          <w:color w:val="auto"/>
          <w:lang w:eastAsia="zh-CN"/>
        </w:rPr>
        <w:t xml:space="preserve">.gada </w:t>
      </w:r>
      <w:r>
        <w:rPr>
          <w:rFonts w:hint="default"/>
          <w:b/>
          <w:color w:val="auto"/>
          <w:lang w:eastAsia="zh-CN"/>
        </w:rPr>
        <w:t>30</w:t>
      </w:r>
      <w:r>
        <w:rPr>
          <w:b/>
          <w:color w:val="auto"/>
          <w:lang w:eastAsia="zh-CN"/>
        </w:rPr>
        <w:t>.</w:t>
      </w:r>
      <w:r>
        <w:rPr>
          <w:rFonts w:hint="default"/>
          <w:b/>
          <w:color w:val="auto"/>
          <w:lang w:eastAsia="zh-CN"/>
        </w:rPr>
        <w:t>novembris</w:t>
      </w:r>
      <w:r>
        <w:rPr>
          <w:color w:val="auto"/>
          <w:lang w:eastAsia="zh-CN"/>
        </w:rPr>
        <w:t>.</w:t>
      </w:r>
    </w:p>
    <w:p>
      <w:pPr>
        <w:numPr>
          <w:ilvl w:val="0"/>
          <w:numId w:val="38"/>
        </w:numPr>
        <w:suppressAutoHyphens/>
        <w:overflowPunct w:val="0"/>
        <w:autoSpaceDE w:val="0"/>
        <w:ind w:left="425" w:leftChars="0" w:hanging="425" w:firstLineChars="0"/>
        <w:contextualSpacing/>
        <w:jc w:val="both"/>
        <w:textAlignment w:val="baseline"/>
        <w:rPr>
          <w:color w:val="auto"/>
        </w:rPr>
      </w:pPr>
      <w:r>
        <w:rPr>
          <w:color w:val="auto"/>
        </w:rPr>
        <w:t xml:space="preserve">Darbi tiek veikti saskaņā ar Darbu izpildes laika grafiku: </w:t>
      </w:r>
      <w:r>
        <w:rPr>
          <w:b w:val="0"/>
          <w:bCs w:val="0"/>
          <w:color w:val="auto"/>
        </w:rPr>
        <w:t>Mērījumi daudzdzīvokļu dzīvojamo māju pašvaldības dzīvojamās telpās</w:t>
      </w:r>
      <w:r>
        <w:rPr>
          <w:rFonts w:hint="default"/>
          <w:b w:val="0"/>
          <w:bCs w:val="0"/>
          <w:color w:val="auto"/>
        </w:rPr>
        <w:t xml:space="preserve"> jāveic </w:t>
      </w:r>
      <w:r>
        <w:rPr>
          <w:b w:val="0"/>
          <w:bCs w:val="0"/>
          <w:color w:val="auto"/>
        </w:rPr>
        <w:t>līdz 20</w:t>
      </w:r>
      <w:r>
        <w:rPr>
          <w:rFonts w:hint="default"/>
          <w:b w:val="0"/>
          <w:bCs w:val="0"/>
          <w:color w:val="auto"/>
        </w:rPr>
        <w:t>20</w:t>
      </w:r>
      <w:r>
        <w:rPr>
          <w:b w:val="0"/>
          <w:bCs w:val="0"/>
          <w:color w:val="auto"/>
        </w:rPr>
        <w:t>.gada 30.novembrim.</w:t>
      </w:r>
    </w:p>
    <w:p>
      <w:pPr>
        <w:numPr>
          <w:ilvl w:val="0"/>
          <w:numId w:val="38"/>
        </w:numPr>
        <w:suppressAutoHyphens/>
        <w:overflowPunct w:val="0"/>
        <w:autoSpaceDE w:val="0"/>
        <w:ind w:left="425" w:leftChars="0" w:hanging="425" w:firstLineChars="0"/>
        <w:contextualSpacing/>
        <w:jc w:val="both"/>
        <w:textAlignment w:val="baseline"/>
        <w:rPr>
          <w:color w:val="auto"/>
        </w:rPr>
      </w:pPr>
      <w:r>
        <w:rPr>
          <w:color w:val="auto"/>
        </w:rPr>
        <w:t>Izpildītājs apņemas nekavējoties, bet ne vēlāk kā 3 (trīs) darba dienu laikā ziņot Pasūtītājam par visiem apstākļiem un/vai šķēršļiem, kuri kavē Darbu izpildi Darbu izpildes laika grafikā noteiktajos termiņos.</w:t>
      </w:r>
    </w:p>
    <w:p>
      <w:pPr>
        <w:numPr>
          <w:ilvl w:val="0"/>
          <w:numId w:val="38"/>
        </w:numPr>
        <w:suppressAutoHyphens/>
        <w:overflowPunct w:val="0"/>
        <w:autoSpaceDE w:val="0"/>
        <w:ind w:left="425" w:leftChars="0" w:hanging="425" w:firstLineChars="0"/>
        <w:contextualSpacing/>
        <w:jc w:val="both"/>
        <w:textAlignment w:val="baseline"/>
        <w:rPr>
          <w:color w:val="auto"/>
        </w:rPr>
      </w:pPr>
      <w:r>
        <w:rPr>
          <w:color w:val="auto"/>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pPr>
        <w:numPr>
          <w:ilvl w:val="0"/>
          <w:numId w:val="38"/>
        </w:numPr>
        <w:suppressAutoHyphens/>
        <w:overflowPunct w:val="0"/>
        <w:autoSpaceDE w:val="0"/>
        <w:ind w:left="425" w:leftChars="0" w:hanging="425" w:firstLineChars="0"/>
        <w:contextualSpacing/>
        <w:jc w:val="both"/>
        <w:textAlignment w:val="baseline"/>
        <w:rPr>
          <w:color w:val="auto"/>
        </w:rPr>
      </w:pPr>
      <w:r>
        <w:rPr>
          <w:color w:val="auto"/>
        </w:rPr>
        <w:t>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w:t>
      </w:r>
    </w:p>
    <w:p>
      <w:pPr>
        <w:numPr>
          <w:ilvl w:val="0"/>
          <w:numId w:val="38"/>
        </w:numPr>
        <w:suppressAutoHyphens/>
        <w:overflowPunct w:val="0"/>
        <w:autoSpaceDE w:val="0"/>
        <w:ind w:left="425" w:leftChars="0" w:hanging="425" w:firstLineChars="0"/>
        <w:contextualSpacing/>
        <w:jc w:val="both"/>
        <w:textAlignment w:val="baseline"/>
        <w:rPr>
          <w:color w:val="auto"/>
        </w:rPr>
      </w:pPr>
      <w:r>
        <w:rPr>
          <w:color w:val="auto"/>
        </w:rPr>
        <w:t>Pasūtītājam ir pienākums sniegt Izpildītājam atbildi uz saņemto paziņojumu, 3 (trīs) darba dienu laikā no paziņojuma saņemšanas dienas.</w:t>
      </w:r>
    </w:p>
    <w:p>
      <w:pPr>
        <w:suppressAutoHyphens/>
        <w:overflowPunct w:val="0"/>
        <w:autoSpaceDE w:val="0"/>
        <w:ind w:right="-416"/>
        <w:contextualSpacing/>
        <w:jc w:val="both"/>
        <w:textAlignment w:val="baseline"/>
        <w:rPr>
          <w:color w:val="auto"/>
          <w:lang w:eastAsia="zh-CN"/>
        </w:rPr>
      </w:pPr>
    </w:p>
    <w:p>
      <w:pPr>
        <w:numPr>
          <w:ilvl w:val="0"/>
          <w:numId w:val="35"/>
        </w:numPr>
        <w:suppressAutoHyphens/>
        <w:overflowPunct w:val="0"/>
        <w:autoSpaceDE w:val="0"/>
        <w:ind w:left="720" w:right="-416"/>
        <w:contextualSpacing/>
        <w:jc w:val="center"/>
        <w:textAlignment w:val="baseline"/>
        <w:rPr>
          <w:b/>
          <w:color w:val="auto"/>
          <w:lang w:eastAsia="zh-CN"/>
        </w:rPr>
      </w:pPr>
      <w:r>
        <w:rPr>
          <w:b/>
          <w:color w:val="auto"/>
          <w:lang w:eastAsia="zh-CN"/>
        </w:rPr>
        <w:t>Pasūtītāja tiesības un pienākumi</w:t>
      </w:r>
    </w:p>
    <w:p>
      <w:pPr>
        <w:numPr>
          <w:ilvl w:val="0"/>
          <w:numId w:val="39"/>
        </w:numPr>
        <w:ind w:left="425" w:leftChars="0" w:hanging="425" w:firstLineChars="0"/>
        <w:jc w:val="both"/>
        <w:rPr>
          <w:color w:val="auto"/>
        </w:rPr>
      </w:pPr>
      <w:r>
        <w:rPr>
          <w:bCs/>
          <w:color w:val="auto"/>
        </w:rPr>
        <w:t>Pasūtītāja pienākumi:</w:t>
      </w:r>
    </w:p>
    <w:p>
      <w:pPr>
        <w:numPr>
          <w:ilvl w:val="0"/>
          <w:numId w:val="40"/>
        </w:numPr>
        <w:ind w:left="425" w:leftChars="0" w:firstLine="55" w:firstLineChars="0"/>
        <w:jc w:val="both"/>
        <w:rPr>
          <w:b w:val="0"/>
          <w:bCs w:val="0"/>
          <w:color w:val="auto"/>
        </w:rPr>
      </w:pPr>
      <w:r>
        <w:rPr>
          <w:b w:val="0"/>
          <w:bCs w:val="0"/>
          <w:color w:val="auto"/>
        </w:rPr>
        <w:t>sniegt Izpildītājam nepieciešamās un Pasūtītāja rīcībā esošās ziņas par Objektiem, kas nepieciešamas Pakalpojumu kvalitatīvai sniegšanai;</w:t>
      </w:r>
    </w:p>
    <w:p>
      <w:pPr>
        <w:numPr>
          <w:ilvl w:val="0"/>
          <w:numId w:val="40"/>
        </w:numPr>
        <w:ind w:left="425" w:leftChars="0" w:firstLine="55" w:firstLineChars="0"/>
        <w:jc w:val="both"/>
        <w:rPr>
          <w:b w:val="0"/>
          <w:bCs w:val="0"/>
          <w:color w:val="auto"/>
        </w:rPr>
      </w:pPr>
      <w:r>
        <w:rPr>
          <w:b w:val="0"/>
          <w:bCs w:val="0"/>
          <w:color w:val="auto"/>
        </w:rPr>
        <w:t>ja Pasūtītājam nepieciešams saņemt Pakalpojumu Objektos, sagatavot Izpildītājam informāciju par Objektiem un nosūtīt Izpildītājam;</w:t>
      </w:r>
    </w:p>
    <w:p>
      <w:pPr>
        <w:numPr>
          <w:ilvl w:val="0"/>
          <w:numId w:val="40"/>
        </w:numPr>
        <w:ind w:left="425" w:leftChars="0" w:firstLine="55" w:firstLineChars="0"/>
        <w:jc w:val="both"/>
        <w:rPr>
          <w:bCs/>
          <w:color w:val="auto"/>
        </w:rPr>
      </w:pPr>
      <w:r>
        <w:rPr>
          <w:b w:val="0"/>
          <w:bCs w:val="0"/>
          <w:color w:val="auto"/>
        </w:rPr>
        <w:t>nodrošināt Izpildītāja darbinieku iekļūšanu Objektos, tajā skaitā palīgtelpās Pakalpojumu sniegšanai;</w:t>
      </w:r>
    </w:p>
    <w:p>
      <w:pPr>
        <w:numPr>
          <w:ilvl w:val="0"/>
          <w:numId w:val="40"/>
        </w:numPr>
        <w:ind w:left="425" w:leftChars="0" w:firstLine="55" w:firstLineChars="0"/>
        <w:jc w:val="both"/>
        <w:rPr>
          <w:bCs/>
          <w:color w:val="auto"/>
        </w:rPr>
      </w:pPr>
      <w:r>
        <w:rPr>
          <w:b w:val="0"/>
          <w:bCs w:val="0"/>
          <w:color w:val="auto"/>
        </w:rPr>
        <w:t>5 (piecu) darba dienu laikā izskatīt Izpildītāja iesniegtos izpildes aktus un Pakalpojumu n</w:t>
      </w:r>
      <w:r>
        <w:rPr>
          <w:bCs/>
          <w:color w:val="auto"/>
        </w:rPr>
        <w:t>odošanas – pieņemšanas aktus</w:t>
      </w:r>
      <w:r>
        <w:rPr>
          <w:color w:val="auto"/>
        </w:rPr>
        <w:t xml:space="preserve"> un </w:t>
      </w:r>
      <w:r>
        <w:rPr>
          <w:bCs/>
          <w:color w:val="auto"/>
        </w:rPr>
        <w:t>parakstīt tos vai arī minētajā termiņā sniegt Izpildītājam pamatotas pretenzijas par sniegtajiem Pakalpojumiem, pretenzijā norādot Pakalpojumu trūkumu novēršanas termiņu;</w:t>
      </w:r>
    </w:p>
    <w:p>
      <w:pPr>
        <w:numPr>
          <w:ilvl w:val="0"/>
          <w:numId w:val="40"/>
        </w:numPr>
        <w:ind w:left="425" w:leftChars="0" w:firstLine="55" w:firstLineChars="0"/>
        <w:jc w:val="both"/>
        <w:rPr>
          <w:bCs/>
          <w:color w:val="auto"/>
        </w:rPr>
      </w:pPr>
      <w:r>
        <w:rPr>
          <w:bCs/>
          <w:color w:val="auto"/>
        </w:rPr>
        <w:t>veikt samaksu saskaņā ar Līgumu.</w:t>
      </w:r>
    </w:p>
    <w:p>
      <w:pPr>
        <w:numPr>
          <w:ilvl w:val="0"/>
          <w:numId w:val="41"/>
        </w:numPr>
        <w:ind w:left="425" w:leftChars="0" w:hanging="425" w:firstLineChars="0"/>
        <w:jc w:val="both"/>
        <w:rPr>
          <w:bCs/>
          <w:color w:val="auto"/>
        </w:rPr>
      </w:pPr>
      <w:r>
        <w:rPr>
          <w:bCs/>
          <w:color w:val="auto"/>
        </w:rPr>
        <w:t>Pasūtītāja tiesības:</w:t>
      </w:r>
    </w:p>
    <w:p>
      <w:pPr>
        <w:pStyle w:val="8"/>
        <w:numPr>
          <w:ilvl w:val="0"/>
          <w:numId w:val="42"/>
        </w:numPr>
        <w:tabs>
          <w:tab w:val="clear" w:pos="425"/>
        </w:tabs>
        <w:ind w:left="424" w:leftChars="177" w:firstLine="52" w:firstLineChars="22"/>
        <w:jc w:val="both"/>
        <w:rPr>
          <w:bCs/>
          <w:color w:val="auto"/>
        </w:rPr>
      </w:pPr>
      <w:r>
        <w:rPr>
          <w:bCs/>
          <w:color w:val="auto"/>
        </w:rPr>
        <w:t>neuzņemies atbildību par Izpildītāja inventāru, tehniku un materiāliem;</w:t>
      </w:r>
    </w:p>
    <w:p>
      <w:pPr>
        <w:pStyle w:val="8"/>
        <w:numPr>
          <w:ilvl w:val="0"/>
          <w:numId w:val="42"/>
        </w:numPr>
        <w:tabs>
          <w:tab w:val="clear" w:pos="425"/>
        </w:tabs>
        <w:ind w:left="424" w:leftChars="177" w:firstLine="52" w:firstLineChars="22"/>
        <w:jc w:val="both"/>
        <w:rPr>
          <w:bCs/>
          <w:color w:val="auto"/>
        </w:rPr>
      </w:pPr>
      <w:r>
        <w:rPr>
          <w:bCs/>
          <w:color w:val="auto"/>
        </w:rPr>
        <w:t>iesniegt Izpildītājam pretenzijas par Pakalpojumu kvalitāti, par nesniegtajiem vai neatbilstoši Līguma, tā pielikumu un/vai normatīvo aktu nosacījumiem sniegtajiem Pakalpojumiem, kā arī par citiem Līguma un normatīvo aktu nosacījumu neievērošanas gadījumiem, norādot termiņu neatbilstību un pārkāpumu novēršanai;</w:t>
      </w:r>
    </w:p>
    <w:p>
      <w:pPr>
        <w:pStyle w:val="8"/>
        <w:numPr>
          <w:ilvl w:val="0"/>
          <w:numId w:val="42"/>
        </w:numPr>
        <w:tabs>
          <w:tab w:val="clear" w:pos="425"/>
        </w:tabs>
        <w:ind w:left="424" w:leftChars="177" w:firstLine="52" w:firstLineChars="22"/>
        <w:jc w:val="both"/>
        <w:rPr>
          <w:bCs/>
          <w:color w:val="auto"/>
          <w:u w:val="single"/>
        </w:rPr>
      </w:pPr>
      <w:r>
        <w:rPr>
          <w:bCs/>
          <w:color w:val="auto"/>
        </w:rPr>
        <w:t>samazināt par Pakalpojumu atbilstoši Līguma noteikumiem maksājamo summu, ja Pakalpojumi un tā ietvaros veicamie darbi ir veikti nekvalitatīvi, nepilnīgi neievērojot Līguma un tā pielikumu nosacījumus un termiņus;</w:t>
      </w:r>
    </w:p>
    <w:p>
      <w:pPr>
        <w:pStyle w:val="8"/>
        <w:numPr>
          <w:ilvl w:val="0"/>
          <w:numId w:val="42"/>
        </w:numPr>
        <w:tabs>
          <w:tab w:val="clear" w:pos="425"/>
        </w:tabs>
        <w:ind w:left="424" w:leftChars="177" w:firstLine="52" w:firstLineChars="22"/>
        <w:jc w:val="both"/>
        <w:rPr>
          <w:bCs/>
          <w:color w:val="auto"/>
          <w:u w:val="single"/>
        </w:rPr>
      </w:pPr>
      <w:r>
        <w:rPr>
          <w:bCs/>
          <w:color w:val="auto"/>
        </w:rPr>
        <w:t>Līguma darbības laikā vērsties pie apdrošināšanas sabiedrības ar lūgumu sniegt ziņas par atlikušo Izpildītāja civiltiesiskās atbildības limitu un gadījumā, ja tas ir mazākas par Līguma 6.1.apakšpunktā noteikto, pieprasīt Izpildītājam limita atjaunošanu 5 (piecu) darba dienu laikā;</w:t>
      </w:r>
    </w:p>
    <w:p>
      <w:pPr>
        <w:pStyle w:val="8"/>
        <w:numPr>
          <w:ilvl w:val="0"/>
          <w:numId w:val="42"/>
        </w:numPr>
        <w:tabs>
          <w:tab w:val="clear" w:pos="425"/>
        </w:tabs>
        <w:ind w:left="424" w:leftChars="177" w:firstLine="52" w:firstLineChars="22"/>
        <w:jc w:val="both"/>
        <w:rPr>
          <w:bCs/>
          <w:color w:val="auto"/>
          <w:u w:val="single"/>
        </w:rPr>
      </w:pPr>
      <w:r>
        <w:rPr>
          <w:color w:val="auto"/>
        </w:rPr>
        <w:t>gadījumā, ja Izpildītājs neveic kādus Pakalpojumu sastāvā ietilpstošus darbus un/vai neievēro noteiktos termiņus, pieaicināt minēto darbu veikšanai trešās personas uz Izpildītāja rēķina;</w:t>
      </w:r>
    </w:p>
    <w:p>
      <w:pPr>
        <w:pStyle w:val="8"/>
        <w:numPr>
          <w:ilvl w:val="0"/>
          <w:numId w:val="42"/>
        </w:numPr>
        <w:tabs>
          <w:tab w:val="clear" w:pos="425"/>
        </w:tabs>
        <w:ind w:left="424" w:leftChars="177" w:firstLine="52" w:firstLineChars="22"/>
        <w:jc w:val="both"/>
        <w:rPr>
          <w:bCs/>
          <w:iCs/>
          <w:color w:val="auto"/>
        </w:rPr>
      </w:pPr>
      <w:r>
        <w:rPr>
          <w:color w:val="auto"/>
        </w:rPr>
        <w:t xml:space="preserve">neparakstīt izpildes aktus un </w:t>
      </w:r>
      <w:r>
        <w:rPr>
          <w:bCs/>
          <w:color w:val="auto"/>
        </w:rPr>
        <w:t xml:space="preserve">Pakalpojumu nodošanas – pieņemšanas aktu, kā arī nemaksāt attiecīgo Līgumā noteikto maksu, </w:t>
      </w:r>
      <w:r>
        <w:rPr>
          <w:color w:val="auto"/>
        </w:rPr>
        <w:t xml:space="preserve">kamēr kādi no Tehniskajā specifikācijā minētajiem </w:t>
      </w:r>
      <w:r>
        <w:rPr>
          <w:bCs/>
          <w:color w:val="auto"/>
        </w:rPr>
        <w:t>darbiem</w:t>
      </w:r>
      <w:r>
        <w:rPr>
          <w:color w:val="auto"/>
        </w:rPr>
        <w:t xml:space="preserve"> </w:t>
      </w:r>
      <w:r>
        <w:rPr>
          <w:bCs/>
          <w:color w:val="auto"/>
        </w:rPr>
        <w:t>Objektos</w:t>
      </w:r>
      <w:r>
        <w:rPr>
          <w:color w:val="auto"/>
        </w:rPr>
        <w:t xml:space="preserve"> ir veikti daļēji vai nav veikti vispār;</w:t>
      </w:r>
    </w:p>
    <w:p>
      <w:pPr>
        <w:pStyle w:val="8"/>
        <w:numPr>
          <w:ilvl w:val="0"/>
          <w:numId w:val="42"/>
        </w:numPr>
        <w:tabs>
          <w:tab w:val="clear" w:pos="425"/>
        </w:tabs>
        <w:ind w:left="424" w:leftChars="177" w:firstLine="52" w:firstLineChars="22"/>
        <w:jc w:val="both"/>
        <w:rPr>
          <w:bCs/>
          <w:iCs/>
          <w:color w:val="auto"/>
        </w:rPr>
      </w:pPr>
      <w:r>
        <w:rPr>
          <w:color w:val="auto"/>
        </w:rPr>
        <w:t>noslēdzot vienošanos pie Līguma, Līguma darbības laikā grozīt Tehniskajā specifikācijā pievienoto Objektu sarakstu, tam pievienojot jaunus Objektus vai arī Objektus no tā izslēdzot. Pievienojot papildu Objektus, to Pakalpojuma cena tiek noteikta, vadoties pēc Finanšu piedāvājumā iekļautu analogu Objektu cenām.</w:t>
      </w:r>
    </w:p>
    <w:p>
      <w:pPr>
        <w:numPr>
          <w:ilvl w:val="0"/>
          <w:numId w:val="43"/>
        </w:numPr>
        <w:tabs>
          <w:tab w:val="left" w:pos="0"/>
        </w:tabs>
        <w:suppressAutoHyphens/>
        <w:overflowPunct w:val="0"/>
        <w:autoSpaceDE w:val="0"/>
        <w:ind w:left="425" w:leftChars="0" w:right="-416" w:hanging="425" w:firstLineChars="0"/>
        <w:contextualSpacing/>
        <w:jc w:val="center"/>
        <w:textAlignment w:val="baseline"/>
        <w:rPr>
          <w:b/>
          <w:color w:val="auto"/>
          <w:lang w:eastAsia="zh-CN"/>
        </w:rPr>
      </w:pPr>
      <w:r>
        <w:rPr>
          <w:b/>
          <w:color w:val="auto"/>
          <w:lang w:eastAsia="zh-CN"/>
        </w:rPr>
        <w:t>Izpildītāja tiesības un pienākumi</w:t>
      </w:r>
    </w:p>
    <w:p>
      <w:pPr>
        <w:numPr>
          <w:ilvl w:val="0"/>
          <w:numId w:val="44"/>
        </w:numPr>
        <w:tabs>
          <w:tab w:val="left" w:pos="2520"/>
        </w:tabs>
        <w:ind w:left="425" w:leftChars="0" w:hanging="425" w:firstLineChars="0"/>
        <w:jc w:val="both"/>
        <w:rPr>
          <w:bCs/>
          <w:color w:val="auto"/>
        </w:rPr>
      </w:pPr>
      <w:r>
        <w:rPr>
          <w:color w:val="auto"/>
        </w:rPr>
        <w:t>Izpildītāja pienākumi</w:t>
      </w:r>
      <w:r>
        <w:rPr>
          <w:iCs/>
          <w:color w:val="auto"/>
        </w:rPr>
        <w:t>:</w:t>
      </w:r>
    </w:p>
    <w:p>
      <w:pPr>
        <w:numPr>
          <w:ilvl w:val="0"/>
          <w:numId w:val="45"/>
        </w:numPr>
        <w:ind w:left="425" w:leftChars="0" w:firstLine="55" w:firstLineChars="0"/>
        <w:jc w:val="both"/>
        <w:rPr>
          <w:color w:val="auto"/>
        </w:rPr>
      </w:pPr>
      <w:r>
        <w:rPr>
          <w:color w:val="auto"/>
        </w:rPr>
        <w:t>___ (____) darba dienu laikā pēc Līguma 4.1.2.punktā informācijas saņemšanas uzsākt Pakalpojumu izpildi</w:t>
      </w:r>
      <w:r>
        <w:rPr>
          <w:rFonts w:hint="default"/>
          <w:color w:val="auto"/>
        </w:rPr>
        <w:t>;</w:t>
      </w:r>
    </w:p>
    <w:p>
      <w:pPr>
        <w:numPr>
          <w:ilvl w:val="0"/>
          <w:numId w:val="45"/>
        </w:numPr>
        <w:ind w:left="425" w:leftChars="0" w:firstLine="55" w:firstLineChars="0"/>
        <w:jc w:val="both"/>
        <w:rPr>
          <w:color w:val="auto"/>
        </w:rPr>
      </w:pPr>
      <w:r>
        <w:rPr>
          <w:color w:val="auto"/>
        </w:rPr>
        <w:t xml:space="preserve"> kvalitatīvi sniegt Pakalpojumus Līgumā un tā pielikumos noteiktajā kārtībā, apjomā, termiņā un biežumā, izpildot visus Tehniskajā specifikācijā norādītos Pakalpojuma ietvaros veicamos darbus un izmantojot Pasūtītāja un normatīvo aktu prasībām atbilstošus instrumentus un ierīces;</w:t>
      </w:r>
    </w:p>
    <w:p>
      <w:pPr>
        <w:numPr>
          <w:ilvl w:val="0"/>
          <w:numId w:val="45"/>
        </w:numPr>
        <w:ind w:left="425" w:leftChars="0" w:firstLine="55" w:firstLineChars="0"/>
        <w:jc w:val="both"/>
        <w:rPr>
          <w:color w:val="auto"/>
        </w:rPr>
      </w:pPr>
      <w:r>
        <w:rPr>
          <w:color w:val="auto"/>
        </w:rPr>
        <w:t>sniegt Pakalpojumu, nodrošinot netraucētu Objektu lietotāju darbību – apsekojumu un mērījumu laikā Izpildītājs Objektā nodrošina lietotāju funkcionālo darbību, nodrošinot ar pagaidu pieslēgumu, un paredz darba organizācijas pasākumus atbilstoši spēkā esošajiem normatīvajiem aktiem;</w:t>
      </w:r>
    </w:p>
    <w:p>
      <w:pPr>
        <w:numPr>
          <w:ilvl w:val="0"/>
          <w:numId w:val="45"/>
        </w:numPr>
        <w:ind w:left="425" w:leftChars="0" w:firstLine="55" w:firstLineChars="0"/>
        <w:jc w:val="both"/>
        <w:rPr>
          <w:bCs/>
          <w:color w:val="auto"/>
        </w:rPr>
      </w:pPr>
      <w:r>
        <w:rPr>
          <w:color w:val="auto"/>
        </w:rPr>
        <w:t>sniedzot Pakalpojumus, ievērot Līguma noteikumus, Latvijas Republikā spēkā esošos tiesību aktus, ugunsdrošības prasības, darba drošības noteikumus, Pasūtītāja iekšējās kārtības noteikumus, Objekta lietotāju iekšējos noteikumus, kā arī uzņemties atbildību par sekām, kuras varētu iestāties šajā apakšpunktā noteikto noteikumu neievērošanas vai nepienācīgas ievērošanas rezultātā</w:t>
      </w:r>
      <w:r>
        <w:rPr>
          <w:bCs/>
          <w:color w:val="auto"/>
        </w:rPr>
        <w:t>;</w:t>
      </w:r>
    </w:p>
    <w:p>
      <w:pPr>
        <w:numPr>
          <w:ilvl w:val="0"/>
          <w:numId w:val="45"/>
        </w:numPr>
        <w:ind w:left="425" w:leftChars="0" w:firstLine="55" w:firstLineChars="0"/>
        <w:jc w:val="both"/>
        <w:rPr>
          <w:bCs/>
          <w:color w:val="auto"/>
        </w:rPr>
      </w:pPr>
      <w:r>
        <w:rPr>
          <w:bCs/>
          <w:color w:val="auto"/>
        </w:rPr>
        <w:t>uzņemties pilnu materiālo atbildību par Objektam, Pasūtītājam vai trešajām personām nodarītajiem zaudējumiem un segt visus zaudējumus, kas Izpildītāja un/ vai Pakalpojuma izpildē Izpildītāja iesaistīto personu darbības vai bezdarbības rezultātā radušies;</w:t>
      </w:r>
    </w:p>
    <w:p>
      <w:pPr>
        <w:numPr>
          <w:ilvl w:val="0"/>
          <w:numId w:val="45"/>
        </w:numPr>
        <w:ind w:left="425" w:leftChars="0" w:firstLine="55" w:firstLineChars="0"/>
        <w:jc w:val="both"/>
        <w:rPr>
          <w:bCs/>
          <w:color w:val="auto"/>
        </w:rPr>
      </w:pPr>
      <w:r>
        <w:rPr>
          <w:color w:val="auto"/>
        </w:rPr>
        <w:t xml:space="preserve">novērst Pasūtītāja pretenzijās norādītos trūkumus Pasūtītāja norādītajā termiņā; </w:t>
      </w:r>
    </w:p>
    <w:p>
      <w:pPr>
        <w:numPr>
          <w:ilvl w:val="0"/>
          <w:numId w:val="45"/>
        </w:numPr>
        <w:ind w:left="425" w:leftChars="0" w:firstLine="55" w:firstLineChars="0"/>
        <w:jc w:val="both"/>
        <w:rPr>
          <w:bCs/>
          <w:color w:val="auto"/>
        </w:rPr>
      </w:pPr>
      <w:r>
        <w:rPr>
          <w:bCs/>
          <w:color w:val="auto"/>
        </w:rPr>
        <w:t xml:space="preserve">Pakalpojumus sniegt, iespējami nodrošinot netraucētu Objekta lietotāju darbību (atsevišķos gadījumos darbus veikt vakaros pēc plkst. 20.00 un brīvdienās), un </w:t>
      </w:r>
      <w:r>
        <w:rPr>
          <w:color w:val="auto"/>
        </w:rPr>
        <w:t>pirms Pakalpojumos ietilpstošo darbu uzsākšanas saskaņot veicamo darbu grafiku ar attiecīgā Objekta pārvaldnieku un telpu lietotājiem, kā arī pēc darbu pabeigšanas sakārtot un uzkopt Pakalpojumu sniegšanas vietu, atstājot to tīru un kārtībā</w:t>
      </w:r>
      <w:r>
        <w:rPr>
          <w:bCs/>
          <w:color w:val="auto"/>
        </w:rPr>
        <w:t>;</w:t>
      </w:r>
    </w:p>
    <w:p>
      <w:pPr>
        <w:numPr>
          <w:ilvl w:val="0"/>
          <w:numId w:val="45"/>
        </w:numPr>
        <w:ind w:left="425" w:leftChars="0" w:firstLine="55" w:firstLineChars="0"/>
        <w:jc w:val="both"/>
        <w:rPr>
          <w:bCs/>
          <w:color w:val="auto"/>
        </w:rPr>
      </w:pPr>
      <w:r>
        <w:rPr>
          <w:bCs/>
          <w:color w:val="auto"/>
        </w:rPr>
        <w:t>iesniegt Pasūtītājam Tehniskajā specifikācijā noteikto izpilddokumentāciju un elektronisko mērījumu protokolus trīs eksemplāros drukātā veidā un vienu elektroniski;</w:t>
      </w:r>
    </w:p>
    <w:p>
      <w:pPr>
        <w:numPr>
          <w:ilvl w:val="0"/>
          <w:numId w:val="45"/>
        </w:numPr>
        <w:ind w:left="425" w:leftChars="0" w:firstLine="55" w:firstLineChars="0"/>
        <w:jc w:val="both"/>
        <w:rPr>
          <w:bCs/>
          <w:color w:val="auto"/>
        </w:rPr>
      </w:pPr>
      <w:r>
        <w:rPr>
          <w:bCs/>
          <w:color w:val="auto"/>
        </w:rPr>
        <w:t>līdz nākamā mēneša __.datumam iesniegt Pasūtītājam izpildes aktu un Pakalpojumu nodošanas - pieņemšanas aktu par veiktajiem Pakalpojumiem iepriekšējā mēnesī;</w:t>
      </w:r>
    </w:p>
    <w:p>
      <w:pPr>
        <w:numPr>
          <w:ilvl w:val="0"/>
          <w:numId w:val="45"/>
        </w:numPr>
        <w:ind w:left="425" w:leftChars="0" w:firstLine="55" w:firstLineChars="0"/>
        <w:jc w:val="both"/>
        <w:rPr>
          <w:bCs/>
          <w:color w:val="auto"/>
        </w:rPr>
      </w:pPr>
      <w:r>
        <w:rPr>
          <w:bCs/>
          <w:color w:val="auto"/>
        </w:rPr>
        <w:t>Līguma darbības laikā nodrošināt, ka Pakalpojumu izpildē piedalās kvalificēts personāls ar nepieciešamo pieredzi;</w:t>
      </w:r>
    </w:p>
    <w:p>
      <w:pPr>
        <w:numPr>
          <w:ilvl w:val="0"/>
          <w:numId w:val="45"/>
        </w:numPr>
        <w:ind w:left="425" w:leftChars="0" w:firstLine="55" w:firstLineChars="0"/>
        <w:jc w:val="both"/>
        <w:rPr>
          <w:bCs/>
          <w:color w:val="auto"/>
        </w:rPr>
      </w:pPr>
      <w:r>
        <w:rPr>
          <w:bCs/>
          <w:color w:val="auto"/>
        </w:rPr>
        <w:t xml:space="preserve">Līguma darbības laikā Pakalpojuma sniegšanai piesaistīt ne mazāk kā </w:t>
      </w:r>
      <w:r>
        <w:rPr>
          <w:color w:val="auto"/>
        </w:rPr>
        <w:t>2 (divus) speciālistus, kuriem uz Līguma noslēgšanas brīdi ir spēkā apliecība ar vismaz B elektrodrošības grupu atbilstoši Ministru kabineta 2013.gada 8.oktobra noteikumiem Nr.1041 „Noteikumi par obligāti piemērojamo energostandartu, kas nosaka elektroapgādes objektu ekspluatācijas organizatoriskās un tehniskās drošības prasības”, no kuriem:</w:t>
      </w:r>
    </w:p>
    <w:p>
      <w:pPr>
        <w:pStyle w:val="8"/>
        <w:numPr>
          <w:ilvl w:val="3"/>
          <w:numId w:val="46"/>
        </w:numPr>
        <w:tabs>
          <w:tab w:val="left" w:pos="2520"/>
        </w:tabs>
        <w:ind w:hanging="27"/>
        <w:jc w:val="both"/>
        <w:rPr>
          <w:bCs/>
          <w:color w:val="auto"/>
        </w:rPr>
      </w:pPr>
      <w:r>
        <w:rPr>
          <w:bCs/>
          <w:color w:val="auto"/>
        </w:rPr>
        <w:t>ne mazāk kā 2 (divi) speciālisti, kuriem uz Līguma noslēgšanas brīdi ir spēkā esošs sertifikāts elektroietaišu tehnisko parametru pārbaudē un mērīšanā ar darba spriegumu vismaz 1 kV;</w:t>
      </w:r>
    </w:p>
    <w:p>
      <w:pPr>
        <w:numPr>
          <w:ilvl w:val="3"/>
          <w:numId w:val="46"/>
        </w:numPr>
        <w:tabs>
          <w:tab w:val="left" w:pos="1701"/>
          <w:tab w:val="left" w:pos="2520"/>
          <w:tab w:val="clear" w:pos="1728"/>
        </w:tabs>
        <w:ind w:left="1701" w:firstLine="0"/>
        <w:contextualSpacing/>
        <w:jc w:val="both"/>
        <w:rPr>
          <w:bCs/>
          <w:color w:val="auto"/>
        </w:rPr>
      </w:pPr>
      <w:r>
        <w:rPr>
          <w:bCs/>
          <w:color w:val="auto"/>
        </w:rPr>
        <w:t>vismaz 1 (viens) speciālists, kuram uz Līguma noslēgšanas brīdi ir spēkā esošs sertifikāts elektroietaišu izbūvē vai izbūves darbu vadīšanā, vai ekspluatācijā, vai būvuzraudzībā ar darba spriegumu vismaz 1 kV.</w:t>
      </w:r>
    </w:p>
    <w:p>
      <w:pPr>
        <w:pStyle w:val="8"/>
        <w:numPr>
          <w:ilvl w:val="0"/>
          <w:numId w:val="47"/>
        </w:numPr>
        <w:ind w:left="425" w:leftChars="0" w:firstLine="55" w:firstLineChars="0"/>
        <w:jc w:val="both"/>
        <w:rPr>
          <w:bCs/>
          <w:color w:val="auto"/>
        </w:rPr>
      </w:pPr>
      <w:r>
        <w:rPr>
          <w:bCs/>
          <w:color w:val="auto"/>
        </w:rPr>
        <w:t xml:space="preserve">Līguma </w:t>
      </w:r>
      <w:r>
        <w:rPr>
          <w:rFonts w:hint="default"/>
          <w:bCs/>
          <w:color w:val="auto"/>
        </w:rPr>
        <w:t>5</w:t>
      </w:r>
      <w:r>
        <w:rPr>
          <w:bCs/>
          <w:color w:val="auto"/>
        </w:rPr>
        <w:t>.1.11.apakšpunktā noteiktajām prasībām atbilstošo un Tehniskajā piedāvājumā minēto speciālistu nomaiņu veikt Līgumā noteiktajā kārtībā;</w:t>
      </w:r>
    </w:p>
    <w:p>
      <w:pPr>
        <w:pStyle w:val="8"/>
        <w:numPr>
          <w:ilvl w:val="0"/>
          <w:numId w:val="47"/>
        </w:numPr>
        <w:ind w:left="425" w:leftChars="0" w:firstLine="55" w:firstLineChars="0"/>
        <w:jc w:val="both"/>
        <w:rPr>
          <w:bCs/>
          <w:color w:val="auto"/>
        </w:rPr>
      </w:pPr>
      <w:r>
        <w:rPr>
          <w:color w:val="auto"/>
        </w:rPr>
        <w:t>nodrošināt, ka Izpildītāja rīcībā ir tehniskais aprīkojums, kas nepieciešams Pakalpojuma sniegšanai Tehniskajā specifikācijā noteiktajā apjomā;</w:t>
      </w:r>
    </w:p>
    <w:p>
      <w:pPr>
        <w:pStyle w:val="8"/>
        <w:numPr>
          <w:ilvl w:val="0"/>
          <w:numId w:val="47"/>
        </w:numPr>
        <w:ind w:left="425" w:leftChars="0" w:firstLine="55" w:firstLineChars="0"/>
        <w:jc w:val="both"/>
        <w:rPr>
          <w:bCs/>
          <w:color w:val="auto"/>
        </w:rPr>
      </w:pPr>
      <w:r>
        <w:rPr>
          <w:color w:val="auto"/>
        </w:rPr>
        <w:t xml:space="preserve">sniedzot Pakalpojumus, </w:t>
      </w:r>
      <w:r>
        <w:rPr>
          <w:bCs/>
          <w:color w:val="auto"/>
        </w:rPr>
        <w:t xml:space="preserve">uzņemties atbildību par </w:t>
      </w:r>
      <w:r>
        <w:rPr>
          <w:color w:val="auto"/>
        </w:rPr>
        <w:t>savu un trešo personu drošību;</w:t>
      </w:r>
    </w:p>
    <w:p>
      <w:pPr>
        <w:pStyle w:val="8"/>
        <w:numPr>
          <w:ilvl w:val="0"/>
          <w:numId w:val="47"/>
        </w:numPr>
        <w:ind w:left="425" w:leftChars="0" w:firstLine="55" w:firstLineChars="0"/>
        <w:jc w:val="both"/>
        <w:rPr>
          <w:bCs/>
          <w:color w:val="auto"/>
        </w:rPr>
      </w:pPr>
      <w:r>
        <w:rPr>
          <w:color w:val="auto"/>
        </w:rPr>
        <w:t>____ (__) darba dienu laikā pēc Pasūtītāja pieprasījuma iesniegt par konkrētā Objektā veicamiem darbiem un darbos iesaistītām personām;</w:t>
      </w:r>
    </w:p>
    <w:p>
      <w:pPr>
        <w:numPr>
          <w:ilvl w:val="0"/>
          <w:numId w:val="48"/>
        </w:numPr>
        <w:ind w:left="425" w:leftChars="0" w:hanging="425" w:firstLineChars="0"/>
        <w:jc w:val="both"/>
        <w:rPr>
          <w:bCs/>
          <w:color w:val="auto"/>
        </w:rPr>
      </w:pPr>
      <w:r>
        <w:rPr>
          <w:bCs/>
          <w:color w:val="auto"/>
        </w:rPr>
        <w:t>Izpildītāja tiesības:</w:t>
      </w:r>
    </w:p>
    <w:p>
      <w:pPr>
        <w:numPr>
          <w:ilvl w:val="0"/>
          <w:numId w:val="49"/>
        </w:numPr>
        <w:ind w:left="425" w:leftChars="0" w:firstLine="55" w:firstLineChars="0"/>
        <w:jc w:val="both"/>
        <w:rPr>
          <w:bCs/>
          <w:color w:val="auto"/>
        </w:rPr>
      </w:pPr>
      <w:r>
        <w:rPr>
          <w:bCs/>
          <w:color w:val="auto"/>
        </w:rPr>
        <w:t>saņemt samaksu par Pasūtītājam pilnībā, kvalitatīvi un atbilstoši Līgumam sniegtiem Pakalpojumiem saskaņā ar Līgumu;</w:t>
      </w:r>
    </w:p>
    <w:p>
      <w:pPr>
        <w:numPr>
          <w:ilvl w:val="0"/>
          <w:numId w:val="49"/>
        </w:numPr>
        <w:ind w:left="425" w:leftChars="0" w:firstLine="55" w:firstLineChars="0"/>
        <w:jc w:val="both"/>
        <w:rPr>
          <w:bCs/>
          <w:color w:val="auto"/>
        </w:rPr>
      </w:pPr>
      <w:r>
        <w:rPr>
          <w:bCs/>
          <w:color w:val="auto"/>
        </w:rPr>
        <w:t>saņemt Pasūtītāja rīcībā esošo un Pakalpojuma izpildei nepieciešamo informāciju.</w:t>
      </w:r>
    </w:p>
    <w:p>
      <w:pPr>
        <w:suppressAutoHyphens/>
        <w:jc w:val="center"/>
        <w:rPr>
          <w:b/>
          <w:color w:val="auto"/>
        </w:rPr>
      </w:pPr>
      <w:r>
        <w:rPr>
          <w:b/>
          <w:color w:val="auto"/>
        </w:rPr>
        <w:t>6. Apdrošināšana</w:t>
      </w:r>
    </w:p>
    <w:p>
      <w:pPr>
        <w:shd w:val="clear" w:color="auto" w:fill="FFFFFF"/>
        <w:ind w:left="426" w:hanging="567"/>
        <w:jc w:val="both"/>
        <w:rPr>
          <w:color w:val="auto"/>
        </w:rPr>
      </w:pPr>
      <w:r>
        <w:rPr>
          <w:color w:val="auto"/>
        </w:rPr>
        <w:t xml:space="preserve">6.1. </w:t>
      </w:r>
      <w:r>
        <w:rPr>
          <w:bCs/>
          <w:color w:val="auto"/>
        </w:rPr>
        <w:t xml:space="preserve">Izpildītājs apņemas ne vēlāk kā </w:t>
      </w:r>
      <w:r>
        <w:rPr>
          <w:color w:val="auto"/>
        </w:rPr>
        <w:t xml:space="preserve">5 (piecu) </w:t>
      </w:r>
      <w:r>
        <w:rPr>
          <w:bCs/>
          <w:color w:val="auto"/>
        </w:rPr>
        <w:t xml:space="preserve">darba dienu laikā pēc Līguma spēkā stāšanās dienas, bet ne vēlāk kā pirms Pakalpojuma uzsākšanas iesniegt Pasūtītājam Izpildītāja un Pakalpojuma izpildē Izpildītāja iesaistīto personu civiltiesiskās atbildības apdrošināšanas polises, apdrošināšanas līguma un dokumentu, kas apliecina apdrošināšanas prēmijas apmaksu, apliecinātas kopijas, uzrādot minēto dokumentu oriģinālus, kas apliecina šādas apdrošināšanas polises esamību: Izpildītāja un Pakalpojuma izpildē Izpildītāja iesaistīto personu civiltiesiskās atbildības apdrošināšanu Objektos par Līguma izpildes laikā Izpildītāja un/vai Pakalpojuma izpildē Izpildītāja iesaistīto personu darbības vai bezdarbības rezultātā Pasūtītājam un trešajām personām nodarīto zaudējumu atlīdzināšanu ar kopējo atbildības limitu ne mazāku kā </w:t>
      </w:r>
      <w:r>
        <w:rPr>
          <w:rFonts w:hint="default"/>
          <w:color w:val="auto"/>
        </w:rPr>
        <w:t>30</w:t>
      </w:r>
      <w:r>
        <w:rPr>
          <w:color w:val="auto"/>
        </w:rPr>
        <w:t xml:space="preserve"> 000,00 EUR </w:t>
      </w:r>
      <w:r>
        <w:rPr>
          <w:bCs/>
          <w:iCs/>
          <w:color w:val="auto"/>
        </w:rPr>
        <w:t>(</w:t>
      </w:r>
      <w:r>
        <w:rPr>
          <w:rFonts w:hint="default"/>
          <w:bCs/>
          <w:iCs/>
          <w:color w:val="auto"/>
        </w:rPr>
        <w:t>trīsdesmit</w:t>
      </w:r>
      <w:r>
        <w:rPr>
          <w:bCs/>
          <w:iCs/>
          <w:color w:val="auto"/>
        </w:rPr>
        <w:t xml:space="preserve"> tūkstoši </w:t>
      </w:r>
      <w:r>
        <w:rPr>
          <w:bCs/>
          <w:i/>
          <w:color w:val="auto"/>
        </w:rPr>
        <w:t>euro</w:t>
      </w:r>
      <w:r>
        <w:rPr>
          <w:bCs/>
          <w:color w:val="auto"/>
        </w:rPr>
        <w:t xml:space="preserve"> un 00 centi), </w:t>
      </w:r>
      <w:r>
        <w:rPr>
          <w:color w:val="auto"/>
        </w:rPr>
        <w:t xml:space="preserve">atbildības limitu par katru gadījumu ne mazāku kā </w:t>
      </w:r>
      <w:r>
        <w:rPr>
          <w:rFonts w:hint="default"/>
          <w:color w:val="auto"/>
        </w:rPr>
        <w:t xml:space="preserve">30 </w:t>
      </w:r>
      <w:r>
        <w:rPr>
          <w:color w:val="auto"/>
        </w:rPr>
        <w:t xml:space="preserve">000,00 EUR </w:t>
      </w:r>
      <w:r>
        <w:rPr>
          <w:bCs/>
          <w:iCs/>
          <w:color w:val="auto"/>
        </w:rPr>
        <w:t>(</w:t>
      </w:r>
      <w:r>
        <w:rPr>
          <w:rFonts w:hint="default"/>
          <w:bCs/>
          <w:iCs/>
          <w:color w:val="auto"/>
        </w:rPr>
        <w:t>trīsdesmit</w:t>
      </w:r>
      <w:r>
        <w:rPr>
          <w:bCs/>
          <w:iCs/>
          <w:color w:val="auto"/>
        </w:rPr>
        <w:t xml:space="preserve"> tūkstoši </w:t>
      </w:r>
      <w:r>
        <w:rPr>
          <w:bCs/>
          <w:i/>
          <w:color w:val="auto"/>
        </w:rPr>
        <w:t>euro</w:t>
      </w:r>
      <w:r>
        <w:rPr>
          <w:bCs/>
          <w:color w:val="auto"/>
        </w:rPr>
        <w:t xml:space="preserve"> un 00 centi) un pašrisku ne lielāku kā </w:t>
      </w:r>
      <w:r>
        <w:rPr>
          <w:rFonts w:hint="default"/>
          <w:bCs/>
          <w:color w:val="auto"/>
        </w:rPr>
        <w:t>30</w:t>
      </w:r>
      <w:r>
        <w:rPr>
          <w:bCs/>
          <w:iCs/>
          <w:color w:val="auto"/>
        </w:rPr>
        <w:t xml:space="preserve">0,00 </w:t>
      </w:r>
      <w:r>
        <w:rPr>
          <w:bCs/>
          <w:color w:val="auto"/>
        </w:rPr>
        <w:t xml:space="preserve">EUR </w:t>
      </w:r>
      <w:r>
        <w:rPr>
          <w:bCs/>
          <w:iCs/>
          <w:color w:val="auto"/>
        </w:rPr>
        <w:t>(</w:t>
      </w:r>
      <w:r>
        <w:rPr>
          <w:rFonts w:hint="default"/>
          <w:bCs/>
          <w:iCs/>
          <w:color w:val="auto"/>
        </w:rPr>
        <w:t>trīs</w:t>
      </w:r>
      <w:r>
        <w:rPr>
          <w:bCs/>
          <w:iCs/>
          <w:color w:val="auto"/>
        </w:rPr>
        <w:t xml:space="preserve"> simti </w:t>
      </w:r>
      <w:r>
        <w:rPr>
          <w:bCs/>
          <w:i/>
          <w:color w:val="auto"/>
        </w:rPr>
        <w:t>euro</w:t>
      </w:r>
      <w:r>
        <w:rPr>
          <w:bCs/>
          <w:color w:val="auto"/>
        </w:rPr>
        <w:t xml:space="preserve"> un 00 centi).</w:t>
      </w:r>
    </w:p>
    <w:p>
      <w:pPr>
        <w:tabs>
          <w:tab w:val="left" w:pos="2520"/>
        </w:tabs>
        <w:ind w:left="426" w:hanging="567"/>
        <w:jc w:val="both"/>
        <w:rPr>
          <w:b/>
          <w:bCs/>
          <w:color w:val="auto"/>
        </w:rPr>
      </w:pPr>
      <w:r>
        <w:rPr>
          <w:bCs/>
          <w:color w:val="auto"/>
        </w:rPr>
        <w:t>6.2.   Izpildītājs nodrošina Līguma 6.1.apakšpunktā minēto apdrošināšanu līdz Līguma darbības termiņa beigām.</w:t>
      </w:r>
    </w:p>
    <w:p>
      <w:pPr>
        <w:pStyle w:val="8"/>
        <w:numPr>
          <w:ilvl w:val="1"/>
          <w:numId w:val="50"/>
        </w:numPr>
        <w:ind w:left="426" w:hanging="567"/>
        <w:jc w:val="both"/>
        <w:rPr>
          <w:b/>
          <w:bCs/>
          <w:color w:val="auto"/>
        </w:rPr>
      </w:pPr>
      <w:r>
        <w:rPr>
          <w:bCs/>
          <w:color w:val="auto"/>
        </w:rPr>
        <w:t xml:space="preserve"> Izpildītāja civiltiesiskās atbildības apdrošināšanas polisē kā trešajai personai ir jābūt minētam – Pasūtītājam un tai ir jābūt spēkā arī gadījumā, ja Izpildītājam ir pasludināta maksātnespēja vai Izpildītājs ir likvidēts.</w:t>
      </w:r>
    </w:p>
    <w:p>
      <w:pPr>
        <w:pStyle w:val="8"/>
        <w:numPr>
          <w:ilvl w:val="1"/>
          <w:numId w:val="50"/>
        </w:numPr>
        <w:ind w:left="426" w:hanging="567"/>
        <w:jc w:val="both"/>
        <w:rPr>
          <w:b/>
          <w:bCs/>
          <w:color w:val="auto"/>
        </w:rPr>
      </w:pPr>
      <w:r>
        <w:rPr>
          <w:bCs/>
          <w:color w:val="auto"/>
        </w:rPr>
        <w:t xml:space="preserve"> Izpildītājam ir pienākums iepriekš apdrošināšanas līguma un apdrošināšanas polises projektus saskaņot ar Pasūtītāju.</w:t>
      </w:r>
    </w:p>
    <w:p>
      <w:pPr>
        <w:numPr>
          <w:ilvl w:val="1"/>
          <w:numId w:val="50"/>
        </w:numPr>
        <w:ind w:left="426" w:hanging="567"/>
        <w:jc w:val="both"/>
        <w:rPr>
          <w:b/>
          <w:bCs/>
          <w:color w:val="auto"/>
        </w:rPr>
      </w:pPr>
      <w:r>
        <w:rPr>
          <w:bCs/>
          <w:color w:val="auto"/>
        </w:rPr>
        <w:t xml:space="preserve"> Ja apdrošināšanas polisei Līguma 6.2.apakšpunktā minētajā laikā beidzas termiņš, Izpildītājs iesniedz Pasūtītajam jaunus tāda paša veida un satura Līguma 6.1.apakšpunktā noteiktos dokumentus ne vēlāk kā 10 (desmit) darba dienas pirms pirmās civiltiesiskās atbildības apdrošināšanas polises termiņa pēdējās dienas, uzrādot minēto dokumentu oriģinālus.</w:t>
      </w:r>
    </w:p>
    <w:p>
      <w:pPr>
        <w:ind w:left="426" w:hanging="568"/>
        <w:jc w:val="both"/>
        <w:rPr>
          <w:color w:val="auto"/>
        </w:rPr>
      </w:pPr>
    </w:p>
    <w:p>
      <w:pPr>
        <w:numPr>
          <w:ilvl w:val="0"/>
          <w:numId w:val="51"/>
        </w:numPr>
        <w:suppressAutoHyphens/>
        <w:ind w:left="425" w:leftChars="0" w:hanging="425" w:firstLineChars="0"/>
        <w:jc w:val="center"/>
        <w:rPr>
          <w:b/>
          <w:color w:val="auto"/>
        </w:rPr>
      </w:pPr>
      <w:r>
        <w:rPr>
          <w:b/>
          <w:color w:val="auto"/>
        </w:rPr>
        <w:t xml:space="preserve"> Pušu atbildība </w:t>
      </w:r>
    </w:p>
    <w:p>
      <w:pPr>
        <w:suppressAutoHyphens/>
        <w:ind w:left="426" w:hanging="568"/>
        <w:jc w:val="both"/>
        <w:rPr>
          <w:color w:val="auto"/>
        </w:rPr>
      </w:pPr>
      <w:r>
        <w:rPr>
          <w:color w:val="auto"/>
        </w:rPr>
        <w:t>7.1. Puses ir atbildīgas par Līgumā noteikto saistību pilnīgu izpildi, atbilstoši Līguma nosacījumiem.</w:t>
      </w:r>
    </w:p>
    <w:p>
      <w:pPr>
        <w:suppressAutoHyphens/>
        <w:ind w:left="426" w:hanging="568"/>
        <w:jc w:val="both"/>
        <w:rPr>
          <w:color w:val="auto"/>
        </w:rPr>
      </w:pPr>
      <w:r>
        <w:rPr>
          <w:color w:val="auto"/>
        </w:rPr>
        <w:t>7.2. Par līgumsaistību pienācīgu neizpildi Puses ir atbildīgas saskaņā ar šo Līgumu, Būvniecības likumu, Civillikumu un citiem Latvijas Republikā spēkā esošajiem normatīvajiem aktiem, kas attiecas uz Darba izpildi.</w:t>
      </w:r>
    </w:p>
    <w:p>
      <w:pPr>
        <w:suppressAutoHyphens/>
        <w:ind w:left="426" w:hanging="568"/>
        <w:jc w:val="both"/>
        <w:rPr>
          <w:color w:val="auto"/>
        </w:rPr>
      </w:pPr>
      <w:r>
        <w:rPr>
          <w:color w:val="auto"/>
        </w:rPr>
        <w:t>7.3.   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pPr>
        <w:suppressAutoHyphens/>
        <w:ind w:left="426" w:hanging="568"/>
        <w:jc w:val="both"/>
        <w:rPr>
          <w:color w:val="auto"/>
        </w:rPr>
      </w:pPr>
      <w:r>
        <w:rPr>
          <w:color w:val="auto"/>
        </w:rPr>
        <w:t>7.4.  Ja Pasūtītājs savlaicīgi neveic Līguma  2. punktā noteiktos maksājumus, tad tas maksā Izpildītājam līgumsodu 0,1% apmērā  no nokavētās maksājuma summas par katru maksājuma kavējuma dienu, bet ne vairāk kā 10 % no nokavētās maksājuma summas.</w:t>
      </w:r>
      <w:r>
        <w:rPr>
          <w:b/>
          <w:color w:val="auto"/>
        </w:rPr>
        <w:t xml:space="preserve"> </w:t>
      </w:r>
    </w:p>
    <w:p>
      <w:pPr>
        <w:suppressAutoHyphens/>
        <w:ind w:left="426" w:hanging="568"/>
        <w:jc w:val="both"/>
        <w:rPr>
          <w:color w:val="auto"/>
        </w:rPr>
      </w:pPr>
      <w:r>
        <w:rPr>
          <w:color w:val="auto"/>
        </w:rPr>
        <w:t xml:space="preserve">7.5.  Gadījumā, ja Izpildītājs pārkāpj kādu no šī Līguma noteikumiem, par kuriem Pasūtītājs rakstiski ir informējis Izpildītāju, Izpildītājs par katru šādu pārkāpumu maksā Pasūtītājam līgumsodu EUR 300,00 (trīs simti </w:t>
      </w:r>
      <w:r>
        <w:rPr>
          <w:i/>
          <w:color w:val="auto"/>
        </w:rPr>
        <w:t xml:space="preserve">euro </w:t>
      </w:r>
      <w:r>
        <w:rPr>
          <w:color w:val="auto"/>
        </w:rPr>
        <w:t xml:space="preserve">00 centi) apmērā. </w:t>
      </w:r>
    </w:p>
    <w:p>
      <w:pPr>
        <w:suppressAutoHyphens/>
        <w:ind w:left="426" w:hanging="568"/>
        <w:jc w:val="both"/>
        <w:rPr>
          <w:color w:val="auto"/>
        </w:rPr>
      </w:pPr>
      <w:r>
        <w:rPr>
          <w:color w:val="auto"/>
        </w:rPr>
        <w:t>7.6.  Puses tiek atbrīvotas no atbildības par Līguma pilnīgu vai daļēju neizpildi, ja šāda neizpilde radusies nepārvaramas varas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pPr>
        <w:suppressAutoHyphens/>
        <w:ind w:left="426" w:hanging="568"/>
        <w:jc w:val="both"/>
        <w:rPr>
          <w:color w:val="auto"/>
        </w:rPr>
      </w:pPr>
      <w:r>
        <w:rPr>
          <w:color w:val="auto"/>
        </w:rPr>
        <w:t>7.7  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w:t>
      </w:r>
    </w:p>
    <w:p>
      <w:pPr>
        <w:numPr>
          <w:numId w:val="0"/>
        </w:numPr>
        <w:suppressAutoHyphens/>
        <w:ind w:leftChars="0"/>
        <w:jc w:val="center"/>
        <w:rPr>
          <w:rFonts w:hint="default"/>
          <w:b/>
          <w:color w:val="auto"/>
        </w:rPr>
      </w:pPr>
    </w:p>
    <w:p>
      <w:pPr>
        <w:numPr>
          <w:numId w:val="0"/>
        </w:numPr>
        <w:suppressAutoHyphens/>
        <w:ind w:leftChars="0"/>
        <w:jc w:val="center"/>
        <w:rPr>
          <w:rFonts w:hint="default"/>
          <w:b/>
          <w:color w:val="auto"/>
        </w:rPr>
      </w:pPr>
    </w:p>
    <w:p>
      <w:pPr>
        <w:numPr>
          <w:numId w:val="0"/>
        </w:numPr>
        <w:suppressAutoHyphens/>
        <w:ind w:leftChars="0"/>
        <w:jc w:val="center"/>
        <w:rPr>
          <w:b/>
          <w:color w:val="auto"/>
        </w:rPr>
      </w:pPr>
      <w:r>
        <w:rPr>
          <w:rFonts w:hint="default"/>
          <w:b/>
          <w:color w:val="auto"/>
        </w:rPr>
        <w:t>8.</w:t>
      </w:r>
      <w:r>
        <w:rPr>
          <w:b/>
          <w:color w:val="auto"/>
        </w:rPr>
        <w:t xml:space="preserve"> Līguma izbeigšana</w:t>
      </w:r>
    </w:p>
    <w:p>
      <w:pPr>
        <w:numPr>
          <w:ilvl w:val="0"/>
          <w:numId w:val="52"/>
        </w:numPr>
        <w:suppressAutoHyphens/>
        <w:ind w:left="425" w:leftChars="0" w:hanging="425" w:firstLineChars="0"/>
        <w:jc w:val="both"/>
        <w:rPr>
          <w:color w:val="auto"/>
        </w:rPr>
      </w:pPr>
      <w:r>
        <w:rPr>
          <w:color w:val="auto"/>
        </w:rPr>
        <w:t>Līgums var tikt izbeigts, Pusēm savstarpēji rakstiski vienojoties vai normatīvajos aktos noteiktajā kārtībā.</w:t>
      </w:r>
    </w:p>
    <w:p>
      <w:pPr>
        <w:numPr>
          <w:ilvl w:val="0"/>
          <w:numId w:val="52"/>
        </w:numPr>
        <w:suppressAutoHyphens/>
        <w:ind w:left="425" w:leftChars="0" w:hanging="425" w:firstLineChars="0"/>
        <w:jc w:val="both"/>
        <w:rPr>
          <w:color w:val="auto"/>
        </w:rPr>
      </w:pPr>
      <w:r>
        <w:rPr>
          <w:color w:val="auto"/>
        </w:rPr>
        <w:t xml:space="preserve"> Pasūtītājs var vienpusēji atkāpties no Līguma, rakstveidā paziņojot par to Izpildītājam 7 (septiņas)  kalendāra dienas iepriekš, ja:</w:t>
      </w:r>
    </w:p>
    <w:p>
      <w:pPr>
        <w:tabs>
          <w:tab w:val="left" w:pos="480"/>
          <w:tab w:val="left" w:pos="851"/>
          <w:tab w:val="left" w:pos="1004"/>
          <w:tab w:val="left" w:pos="1276"/>
        </w:tabs>
        <w:suppressAutoHyphens/>
        <w:ind w:left="1276" w:hanging="709"/>
        <w:jc w:val="both"/>
        <w:rPr>
          <w:color w:val="auto"/>
        </w:rPr>
      </w:pPr>
      <w:r>
        <w:rPr>
          <w:color w:val="auto"/>
        </w:rPr>
        <w:t>8.2.1. 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pPr>
        <w:tabs>
          <w:tab w:val="left" w:pos="851"/>
          <w:tab w:val="left" w:pos="1004"/>
          <w:tab w:val="left" w:pos="1276"/>
        </w:tabs>
        <w:overflowPunct w:val="0"/>
        <w:autoSpaceDE w:val="0"/>
        <w:autoSpaceDN w:val="0"/>
        <w:adjustRightInd w:val="0"/>
        <w:ind w:left="1276" w:hanging="709"/>
        <w:jc w:val="both"/>
        <w:rPr>
          <w:color w:val="auto"/>
        </w:rPr>
      </w:pPr>
      <w:r>
        <w:rPr>
          <w:color w:val="auto"/>
        </w:rPr>
        <w:t>8.2.2. Darbi tiek veikti neatbilstoši Līguma dokumentu prasībām, kvalitātes vai tehnoloģijas prasībām vai netiek uzsākta defektu novēršana;</w:t>
      </w:r>
    </w:p>
    <w:p>
      <w:pPr>
        <w:tabs>
          <w:tab w:val="left" w:pos="1004"/>
          <w:tab w:val="left" w:pos="1276"/>
        </w:tabs>
        <w:ind w:left="1276" w:hanging="709"/>
        <w:jc w:val="both"/>
        <w:rPr>
          <w:rFonts w:eastAsia="Calibri"/>
          <w:color w:val="auto"/>
        </w:rPr>
      </w:pPr>
      <w:r>
        <w:rPr>
          <w:rFonts w:eastAsia="Calibri"/>
          <w:color w:val="auto"/>
        </w:rPr>
        <w:t xml:space="preserve">8.2.3. ir pasludināts Izpildītāja maksātnespējas process, apturēta vai pārtraukta tā saimnieciskā darbība, uzsākta tiesvedība par Izpildītāja bankrotu; </w:t>
      </w:r>
    </w:p>
    <w:p>
      <w:pPr>
        <w:numPr>
          <w:ilvl w:val="0"/>
          <w:numId w:val="53"/>
        </w:numPr>
        <w:tabs>
          <w:tab w:val="left" w:pos="426"/>
        </w:tabs>
        <w:suppressAutoHyphens/>
        <w:ind w:left="425" w:leftChars="0" w:hanging="425" w:firstLineChars="0"/>
        <w:jc w:val="both"/>
        <w:rPr>
          <w:color w:val="auto"/>
        </w:rPr>
      </w:pPr>
      <w:r>
        <w:rPr>
          <w:color w:val="auto"/>
        </w:rPr>
        <w:t>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pPr>
        <w:numPr>
          <w:ilvl w:val="0"/>
          <w:numId w:val="53"/>
        </w:numPr>
        <w:tabs>
          <w:tab w:val="left" w:pos="426"/>
        </w:tabs>
        <w:suppressAutoHyphens/>
        <w:ind w:left="425" w:leftChars="0" w:hanging="425" w:firstLineChars="0"/>
        <w:jc w:val="both"/>
        <w:rPr>
          <w:color w:val="auto"/>
        </w:rPr>
      </w:pPr>
      <w:r>
        <w:rPr>
          <w:color w:val="auto"/>
        </w:rPr>
        <w:t xml:space="preserve">Līguma izbeigšana saistību neizpildes dēļ neierobežo Pušu tiesības uz zaudējumu atlīdzību vai līgumsodu. </w:t>
      </w:r>
    </w:p>
    <w:p>
      <w:pPr>
        <w:numPr>
          <w:ilvl w:val="0"/>
          <w:numId w:val="53"/>
        </w:numPr>
        <w:tabs>
          <w:tab w:val="left" w:pos="426"/>
        </w:tabs>
        <w:suppressAutoHyphens/>
        <w:ind w:left="425" w:leftChars="0" w:hanging="425" w:firstLineChars="0"/>
        <w:jc w:val="both"/>
        <w:rPr>
          <w:color w:val="auto"/>
        </w:rPr>
      </w:pPr>
      <w:r>
        <w:rPr>
          <w:color w:val="auto"/>
        </w:rPr>
        <w:t>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pPr>
        <w:numPr>
          <w:ilvl w:val="0"/>
          <w:numId w:val="53"/>
        </w:numPr>
        <w:tabs>
          <w:tab w:val="left" w:pos="426"/>
        </w:tabs>
        <w:suppressAutoHyphens/>
        <w:ind w:left="425" w:leftChars="0" w:hanging="425" w:firstLineChars="0"/>
        <w:jc w:val="both"/>
        <w:rPr>
          <w:color w:val="auto"/>
        </w:rPr>
      </w:pPr>
      <w:r>
        <w:rPr>
          <w:color w:val="auto"/>
        </w:rPr>
        <w:t>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pPr>
        <w:pStyle w:val="8"/>
        <w:widowControl w:val="0"/>
        <w:numPr>
          <w:numId w:val="0"/>
        </w:numPr>
        <w:suppressAutoHyphens/>
        <w:ind w:left="-218" w:leftChars="0"/>
        <w:jc w:val="center"/>
        <w:rPr>
          <w:color w:val="auto"/>
        </w:rPr>
      </w:pPr>
      <w:r>
        <w:rPr>
          <w:rFonts w:hint="default"/>
          <w:b/>
          <w:color w:val="auto"/>
        </w:rPr>
        <w:t xml:space="preserve">9. </w:t>
      </w:r>
      <w:r>
        <w:rPr>
          <w:b/>
          <w:color w:val="auto"/>
        </w:rPr>
        <w:t>Nobeiguma noteikumi</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Visus jautājumus un strīdus, kas radušies Līguma izpildes laikā, Puses cenšas atrisināt sarunu ceļā. Ja vienošanās netiek panākta, strīdi tiek risināti normatīvajos aktos paredzētajā kārtībā tiesā.</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rFonts w:eastAsia="Calibri"/>
          <w:color w:val="auto"/>
        </w:rPr>
        <w:t xml:space="preserve"> Korespondence, kas tiek nosūtīta otrai Pusei pa pastu ir uzskatāma par saņemtu 7 (septītajā) dienā, skaitot no tās iesniegšanas pastā. Visai sarakstei un jebkurai informācijai, ko viena Puse iesniedz otrai, jābūt latviešu valodā.</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rFonts w:eastAsia="Calibri"/>
          <w:color w:val="auto"/>
        </w:rPr>
        <w:t xml:space="preserve"> 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Pusei ir pienākums 5 (piecu) dienu laikā rakstveidā paziņot otrai Pusei par šajā Līgumā norādīto rekvizītu un adrešu maiņu, pretējā gadījumā nepaziņojusī Puse nevar atsaukties uz saistību neizpildi, ko izraisījis nepaziņošanas fakts.</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Katras Puses pārstāvis apliecina, ka tam ir visas tiesības Puses vārdā noslēgt Līgumu.</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Puses apliecina, ka ir iepazinušās ar Līguma noteikumiem un atzīst tos par saprotamiem, saistošiem un izpildāmiem. Izpildītājs apliecina, ka tam ir visas nepieciešamās zināšanas, pieredze, darbaspēks un materiāltehniskais nodrošinājums Darba veikšanai.</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Pasūtītāja pilnvarotā persona Līguma izpildes laikā ir</w:t>
      </w:r>
      <w:r>
        <w:rPr>
          <w:rFonts w:hint="default"/>
          <w:color w:val="auto"/>
        </w:rPr>
        <w:t xml:space="preserve"> </w:t>
      </w:r>
      <w:r>
        <w:rPr>
          <w:rFonts w:eastAsia="Lucida Sans Unicode" w:cs="Times New Roman"/>
          <w:bCs/>
          <w:color w:val="auto"/>
          <w:kern w:val="1"/>
          <w:szCs w:val="20"/>
          <w:lang w:val="en-US"/>
        </w:rPr>
        <w:t>namu pārzin</w:t>
      </w:r>
      <w:r>
        <w:rPr>
          <w:rFonts w:hint="default" w:eastAsia="Lucida Sans Unicode" w:cs="Times New Roman"/>
          <w:bCs/>
          <w:color w:val="auto"/>
          <w:kern w:val="1"/>
          <w:szCs w:val="20"/>
        </w:rPr>
        <w:t>is</w:t>
      </w:r>
      <w:r>
        <w:rPr>
          <w:rFonts w:eastAsia="Lucida Sans Unicode" w:cs="Times New Roman"/>
          <w:bCs/>
          <w:color w:val="auto"/>
          <w:kern w:val="1"/>
          <w:szCs w:val="20"/>
          <w:lang w:val="en-US"/>
        </w:rPr>
        <w:t xml:space="preserve"> </w:t>
      </w:r>
      <w:r>
        <w:rPr>
          <w:rFonts w:hint="default" w:eastAsia="Lucida Sans Unicode" w:cs="Times New Roman"/>
          <w:bCs/>
          <w:color w:val="auto"/>
          <w:kern w:val="1"/>
          <w:szCs w:val="20"/>
        </w:rPr>
        <w:t>Edgars Kvēvs</w:t>
      </w:r>
      <w:r>
        <w:rPr>
          <w:rFonts w:eastAsia="Lucida Sans Unicode" w:cs="Times New Roman"/>
          <w:bCs/>
          <w:color w:val="auto"/>
          <w:kern w:val="1"/>
          <w:szCs w:val="20"/>
          <w:lang w:val="en-US"/>
        </w:rPr>
        <w:t xml:space="preserve">, mobilais telefons </w:t>
      </w:r>
      <w:r>
        <w:rPr>
          <w:rFonts w:hint="default" w:eastAsia="Lucida Sans Unicode" w:cs="Times New Roman"/>
          <w:bCs/>
          <w:color w:val="auto"/>
          <w:kern w:val="1"/>
          <w:szCs w:val="20"/>
        </w:rPr>
        <w:t>63722463</w:t>
      </w:r>
      <w:r>
        <w:rPr>
          <w:rFonts w:eastAsia="Lucida Sans Unicode" w:cs="Times New Roman"/>
          <w:bCs/>
          <w:color w:val="auto"/>
          <w:kern w:val="1"/>
          <w:szCs w:val="20"/>
          <w:lang w:val="en-US"/>
        </w:rPr>
        <w:t xml:space="preserve">, e-pasts: </w:t>
      </w:r>
      <w:r>
        <w:rPr>
          <w:color w:val="auto"/>
        </w:rPr>
        <w:fldChar w:fldCharType="begin"/>
      </w:r>
      <w:r>
        <w:rPr>
          <w:color w:val="auto"/>
        </w:rPr>
        <w:instrText xml:space="preserve">HYPERLINK "mailto:namuparzinis@dobelesnamsaimnieks.lv" </w:instrText>
      </w:r>
      <w:r>
        <w:rPr>
          <w:color w:val="auto"/>
        </w:rPr>
        <w:fldChar w:fldCharType="separate"/>
      </w:r>
      <w:r>
        <w:rPr>
          <w:rStyle w:val="7"/>
          <w:rFonts w:eastAsia="Calibri" w:cs="Times New Roman"/>
          <w:color w:val="auto"/>
          <w:kern w:val="1"/>
          <w:szCs w:val="20"/>
          <w:lang w:val="en-US" w:bidi="en-US"/>
        </w:rPr>
        <w:t>namuparzinis@dobelesnamsaimnieks.lv</w:t>
      </w:r>
      <w:r>
        <w:rPr>
          <w:color w:val="auto"/>
        </w:rPr>
        <w:fldChar w:fldCharType="end"/>
      </w:r>
      <w:r>
        <w:rPr>
          <w:rFonts w:eastAsia="Lucida Sans Unicode" w:cs="Times New Roman"/>
          <w:color w:val="auto"/>
          <w:kern w:val="1"/>
          <w:szCs w:val="20"/>
          <w:lang w:val="en-US"/>
        </w:rPr>
        <w:t>,</w:t>
      </w:r>
      <w:r>
        <w:rPr>
          <w:rFonts w:hint="default" w:eastAsia="Lucida Sans Unicode" w:cs="Times New Roman"/>
          <w:color w:val="auto"/>
          <w:kern w:val="1"/>
          <w:szCs w:val="20"/>
        </w:rPr>
        <w:t xml:space="preserve"> </w:t>
      </w:r>
      <w:r>
        <w:rPr>
          <w:rFonts w:hint="default" w:ascii="Times New Roman" w:hAnsi="Times New Roman" w:cs="Times New Roman"/>
          <w:bCs/>
          <w:color w:val="auto"/>
          <w:sz w:val="24"/>
          <w:szCs w:val="24"/>
          <w:lang w:eastAsia="ar-SA"/>
        </w:rPr>
        <w:t>Tehniskā</w:t>
      </w:r>
      <w:r>
        <w:rPr>
          <w:rFonts w:hint="default" w:cs="Times New Roman"/>
          <w:bCs/>
          <w:color w:val="auto"/>
          <w:sz w:val="24"/>
          <w:szCs w:val="24"/>
          <w:lang w:eastAsia="ar-SA"/>
        </w:rPr>
        <w:t>s</w:t>
      </w:r>
      <w:r>
        <w:rPr>
          <w:rFonts w:hint="default" w:ascii="Times New Roman" w:hAnsi="Times New Roman" w:cs="Times New Roman"/>
          <w:bCs/>
          <w:color w:val="auto"/>
          <w:sz w:val="24"/>
          <w:szCs w:val="24"/>
          <w:lang w:eastAsia="ar-SA"/>
        </w:rPr>
        <w:t xml:space="preserve">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7"/>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Izpildītāja pilnvarotā persona Līguma izpildes laikā ir________________, mob.tālr._____, e-pasts: ___________.</w:t>
      </w:r>
    </w:p>
    <w:p>
      <w:pPr>
        <w:pStyle w:val="8"/>
        <w:numPr>
          <w:ilvl w:val="1"/>
          <w:numId w:val="54"/>
        </w:numPr>
        <w:overflowPunct w:val="0"/>
        <w:autoSpaceDE w:val="0"/>
        <w:autoSpaceDN w:val="0"/>
        <w:adjustRightInd w:val="0"/>
        <w:ind w:left="360" w:leftChars="0" w:right="-199" w:hanging="360" w:firstLineChars="0"/>
        <w:jc w:val="both"/>
        <w:textAlignment w:val="baseline"/>
        <w:rPr>
          <w:color w:val="auto"/>
        </w:rPr>
      </w:pPr>
      <w:r>
        <w:rPr>
          <w:color w:val="auto"/>
        </w:rPr>
        <w:t xml:space="preserve"> Līgums ir sagatavots uz ___ (___) lapām, 2 (divos) identiskos eksemplāros ar vienādu juridisko spēku, no kuriem viens glabājas pie Pasūtītāja, bet otrs pie Izpildītāja.</w:t>
      </w:r>
    </w:p>
    <w:p>
      <w:pPr>
        <w:pStyle w:val="8"/>
        <w:numPr>
          <w:ilvl w:val="1"/>
          <w:numId w:val="54"/>
        </w:numPr>
        <w:tabs>
          <w:tab w:val="left" w:pos="426"/>
        </w:tabs>
        <w:overflowPunct w:val="0"/>
        <w:autoSpaceDE w:val="0"/>
        <w:autoSpaceDN w:val="0"/>
        <w:adjustRightInd w:val="0"/>
        <w:ind w:left="360" w:leftChars="0" w:right="-199" w:hanging="360" w:firstLineChars="0"/>
        <w:jc w:val="both"/>
        <w:textAlignment w:val="baseline"/>
        <w:rPr>
          <w:color w:val="auto"/>
        </w:rPr>
      </w:pPr>
      <w:r>
        <w:rPr>
          <w:color w:val="auto"/>
        </w:rPr>
        <w:t>Līgumam ir sekojuši pielikumi:</w:t>
      </w:r>
    </w:p>
    <w:p>
      <w:pPr>
        <w:pStyle w:val="8"/>
        <w:numPr>
          <w:ilvl w:val="0"/>
          <w:numId w:val="55"/>
        </w:numPr>
        <w:tabs>
          <w:tab w:val="clear" w:pos="425"/>
        </w:tabs>
        <w:overflowPunct w:val="0"/>
        <w:autoSpaceDE w:val="0"/>
        <w:autoSpaceDN w:val="0"/>
        <w:adjustRightInd w:val="0"/>
        <w:ind w:left="425" w:leftChars="0" w:right="-199" w:firstLine="55" w:firstLineChars="0"/>
        <w:jc w:val="both"/>
        <w:textAlignment w:val="baseline"/>
        <w:rPr>
          <w:color w:val="auto"/>
        </w:rPr>
      </w:pPr>
      <w:r>
        <w:rPr>
          <w:color w:val="auto"/>
        </w:rPr>
        <w:t>1.pielikums - Pieteikums dalībai iepirkumā</w:t>
      </w:r>
      <w:r>
        <w:rPr>
          <w:rFonts w:hint="default"/>
          <w:color w:val="auto"/>
        </w:rPr>
        <w:t>.</w:t>
      </w:r>
    </w:p>
    <w:p>
      <w:pPr>
        <w:pStyle w:val="8"/>
        <w:numPr>
          <w:ilvl w:val="0"/>
          <w:numId w:val="55"/>
        </w:numPr>
        <w:tabs>
          <w:tab w:val="clear" w:pos="425"/>
        </w:tabs>
        <w:overflowPunct w:val="0"/>
        <w:autoSpaceDE w:val="0"/>
        <w:autoSpaceDN w:val="0"/>
        <w:adjustRightInd w:val="0"/>
        <w:ind w:left="425" w:leftChars="0" w:right="-199" w:firstLine="55" w:firstLineChars="0"/>
        <w:jc w:val="both"/>
        <w:textAlignment w:val="baseline"/>
        <w:rPr>
          <w:color w:val="auto"/>
        </w:rPr>
      </w:pPr>
      <w:r>
        <w:rPr>
          <w:rFonts w:hint="default"/>
          <w:color w:val="auto"/>
        </w:rPr>
        <w:t>2</w:t>
      </w:r>
      <w:r>
        <w:rPr>
          <w:color w:val="auto"/>
        </w:rPr>
        <w:t xml:space="preserve">.pielikums </w:t>
      </w:r>
      <w:r>
        <w:rPr>
          <w:rFonts w:hint="default"/>
          <w:color w:val="auto"/>
        </w:rPr>
        <w:t>- F</w:t>
      </w:r>
      <w:r>
        <w:rPr>
          <w:color w:val="auto"/>
        </w:rPr>
        <w:t>inanšu piedāvājums</w:t>
      </w:r>
      <w:r>
        <w:rPr>
          <w:rFonts w:hint="default"/>
          <w:color w:val="auto"/>
        </w:rPr>
        <w:t>.</w:t>
      </w:r>
    </w:p>
    <w:p>
      <w:pPr>
        <w:pStyle w:val="8"/>
        <w:numPr>
          <w:ilvl w:val="0"/>
          <w:numId w:val="55"/>
        </w:numPr>
        <w:tabs>
          <w:tab w:val="clear" w:pos="425"/>
        </w:tabs>
        <w:overflowPunct w:val="0"/>
        <w:autoSpaceDE w:val="0"/>
        <w:autoSpaceDN w:val="0"/>
        <w:adjustRightInd w:val="0"/>
        <w:ind w:left="425" w:leftChars="0" w:right="-199" w:firstLine="55" w:firstLineChars="0"/>
        <w:jc w:val="both"/>
        <w:textAlignment w:val="baseline"/>
        <w:rPr>
          <w:color w:val="auto"/>
        </w:rPr>
      </w:pPr>
      <w:r>
        <w:rPr>
          <w:rFonts w:hint="default"/>
          <w:color w:val="auto"/>
        </w:rPr>
        <w:t>3</w:t>
      </w:r>
      <w:r>
        <w:rPr>
          <w:color w:val="auto"/>
        </w:rPr>
        <w:t>.pielikums - Darbu izpildes laika grafiks</w:t>
      </w:r>
      <w:r>
        <w:rPr>
          <w:rFonts w:hint="default"/>
          <w:color w:val="auto"/>
        </w:rPr>
        <w:t>.</w:t>
      </w:r>
    </w:p>
    <w:p>
      <w:pPr>
        <w:pStyle w:val="8"/>
        <w:numPr>
          <w:ilvl w:val="0"/>
          <w:numId w:val="55"/>
        </w:numPr>
        <w:tabs>
          <w:tab w:val="clear" w:pos="425"/>
        </w:tabs>
        <w:overflowPunct w:val="0"/>
        <w:autoSpaceDE w:val="0"/>
        <w:autoSpaceDN w:val="0"/>
        <w:adjustRightInd w:val="0"/>
        <w:ind w:left="425" w:leftChars="0" w:right="-199" w:firstLine="55" w:firstLineChars="0"/>
        <w:jc w:val="both"/>
        <w:textAlignment w:val="baseline"/>
        <w:rPr>
          <w:color w:val="auto"/>
        </w:rPr>
      </w:pPr>
      <w:r>
        <w:rPr>
          <w:rFonts w:hint="default"/>
          <w:color w:val="auto"/>
        </w:rPr>
        <w:t>4</w:t>
      </w:r>
      <w:r>
        <w:rPr>
          <w:color w:val="auto"/>
        </w:rPr>
        <w:t>.pielikums - Tehniskais piedāvājums, tai skaitā tehniskā specifikācija.</w:t>
      </w:r>
    </w:p>
    <w:p>
      <w:pPr>
        <w:numPr>
          <w:numId w:val="0"/>
        </w:numPr>
        <w:suppressAutoHyphens/>
        <w:ind w:leftChars="0"/>
        <w:jc w:val="center"/>
        <w:rPr>
          <w:b/>
          <w:color w:val="auto"/>
        </w:rPr>
      </w:pPr>
      <w:r>
        <w:rPr>
          <w:rFonts w:hint="default"/>
          <w:b/>
          <w:color w:val="auto"/>
        </w:rPr>
        <w:t xml:space="preserve">10. </w:t>
      </w:r>
      <w:r>
        <w:rPr>
          <w:b/>
          <w:color w:val="auto"/>
        </w:rPr>
        <w:t>Pušu adrese, rekvizīti, paraksti un zīmogs</w:t>
      </w:r>
    </w:p>
    <w:p>
      <w:pPr>
        <w:suppressAutoHyphens/>
        <w:jc w:val="center"/>
        <w:rPr>
          <w:b/>
          <w:color w:val="auto"/>
        </w:rPr>
      </w:pPr>
    </w:p>
    <w:p>
      <w:pPr>
        <w:tabs>
          <w:tab w:val="left" w:pos="720"/>
        </w:tabs>
        <w:suppressAutoHyphens/>
        <w:ind w:firstLine="567"/>
        <w:rPr>
          <w:color w:val="auto"/>
          <w:lang w:eastAsia="ar-SA"/>
        </w:rPr>
      </w:pPr>
      <w:r>
        <w:rPr>
          <w:b/>
          <w:bCs/>
          <w:color w:val="auto"/>
          <w:lang w:eastAsia="ar-SA"/>
        </w:rPr>
        <w:t>Pasūtītājs:                                                                   Izpildītājs:</w:t>
      </w:r>
    </w:p>
    <w:p>
      <w:pPr>
        <w:tabs>
          <w:tab w:val="left" w:pos="720"/>
        </w:tabs>
        <w:suppressAutoHyphens/>
        <w:ind w:firstLine="567"/>
        <w:rPr>
          <w:color w:val="FF0000"/>
          <w:lang w:eastAsia="ar-SA"/>
        </w:rPr>
      </w:pPr>
    </w:p>
    <w:p>
      <w:pPr>
        <w:tabs>
          <w:tab w:val="left" w:pos="720"/>
        </w:tabs>
        <w:suppressAutoHyphens/>
        <w:ind w:firstLine="567"/>
        <w:rPr>
          <w:color w:val="FF0000"/>
          <w:lang w:eastAsia="ar-SA"/>
        </w:rPr>
      </w:pPr>
    </w:p>
    <w:tbl>
      <w:tblPr>
        <w:tblW w:w="9112"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
      <w:tblGrid>
        <w:gridCol w:w="4516"/>
        <w:gridCol w:w="45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1889" w:hRule="atLeast"/>
        </w:trPr>
        <w:tc>
          <w:tcPr>
            <w:tcW w:w="4516" w:type="dxa"/>
            <w:shd w:val="clear" w:color="auto" w:fill="FFFFFF"/>
            <w:tcMar>
              <w:top w:w="0" w:type="dxa"/>
              <w:left w:w="108" w:type="dxa"/>
              <w:bottom w:w="0" w:type="dxa"/>
              <w:right w:w="108" w:type="dxa"/>
            </w:tcMar>
            <w:vAlign w:val="top"/>
          </w:tcPr>
          <w:p>
            <w:pPr>
              <w:tabs>
                <w:tab w:val="left" w:pos="720"/>
                <w:tab w:val="left" w:pos="810"/>
              </w:tabs>
              <w:suppressAutoHyphens/>
              <w:rPr>
                <w:color w:val="auto"/>
                <w:sz w:val="26"/>
                <w:szCs w:val="20"/>
                <w:lang w:eastAsia="ar-SA"/>
              </w:rPr>
            </w:pPr>
            <w:r>
              <w:rPr>
                <w:b/>
                <w:bCs/>
                <w:color w:val="auto"/>
                <w:lang w:eastAsia="ar-SA"/>
              </w:rPr>
              <w:t>SIA „DOBELES NAMSAIMNIEKS”</w:t>
            </w:r>
            <w:r>
              <w:rPr>
                <w:color w:val="auto"/>
                <w:lang w:eastAsia="ar-SA"/>
              </w:rPr>
              <w:t xml:space="preserve">, </w:t>
            </w:r>
          </w:p>
          <w:p>
            <w:pPr>
              <w:tabs>
                <w:tab w:val="left" w:pos="720"/>
                <w:tab w:val="left" w:pos="810"/>
              </w:tabs>
              <w:suppressAutoHyphens/>
              <w:rPr>
                <w:color w:val="auto"/>
                <w:sz w:val="26"/>
                <w:szCs w:val="20"/>
                <w:lang w:eastAsia="ar-SA"/>
              </w:rPr>
            </w:pPr>
            <w:r>
              <w:rPr>
                <w:color w:val="auto"/>
                <w:lang w:eastAsia="ar-SA"/>
              </w:rPr>
              <w:t xml:space="preserve">Reģ. Nr. 48503021348, </w:t>
            </w:r>
          </w:p>
          <w:p>
            <w:pPr>
              <w:tabs>
                <w:tab w:val="left" w:pos="720"/>
                <w:tab w:val="left" w:pos="810"/>
              </w:tabs>
              <w:suppressAutoHyphens/>
              <w:rPr>
                <w:color w:val="auto"/>
                <w:sz w:val="26"/>
                <w:szCs w:val="20"/>
                <w:lang w:eastAsia="ar-SA"/>
              </w:rPr>
            </w:pPr>
            <w:r>
              <w:rPr>
                <w:color w:val="auto"/>
                <w:lang w:eastAsia="ar-SA"/>
              </w:rPr>
              <w:t>Zaļā iela 3, Dobele, Dobeles nov. LV 3701</w:t>
            </w:r>
          </w:p>
          <w:p>
            <w:pPr>
              <w:tabs>
                <w:tab w:val="left" w:pos="720"/>
                <w:tab w:val="left" w:pos="810"/>
              </w:tabs>
              <w:suppressAutoHyphens/>
              <w:rPr>
                <w:color w:val="auto"/>
                <w:sz w:val="26"/>
                <w:szCs w:val="20"/>
                <w:lang w:eastAsia="ar-SA"/>
              </w:rPr>
            </w:pPr>
            <w:r>
              <w:rPr>
                <w:color w:val="auto"/>
                <w:lang w:eastAsia="ar-SA"/>
              </w:rPr>
              <w:t>Konts: LV 91UNLA0006000508407</w:t>
            </w:r>
          </w:p>
          <w:p>
            <w:pPr>
              <w:tabs>
                <w:tab w:val="left" w:pos="720"/>
                <w:tab w:val="left" w:pos="810"/>
              </w:tabs>
              <w:suppressAutoHyphens/>
              <w:rPr>
                <w:color w:val="auto"/>
                <w:sz w:val="26"/>
                <w:szCs w:val="20"/>
                <w:lang w:eastAsia="ar-SA"/>
              </w:rPr>
            </w:pPr>
            <w:r>
              <w:rPr>
                <w:color w:val="auto"/>
                <w:lang w:eastAsia="ar-SA"/>
              </w:rPr>
              <w:t>AS SEB banka</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color w:val="auto"/>
                <w:sz w:val="20"/>
                <w:szCs w:val="20"/>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color w:val="auto"/>
                <w:sz w:val="20"/>
                <w:szCs w:val="20"/>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color w:val="auto"/>
                <w:sz w:val="20"/>
                <w:szCs w:val="20"/>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color w:val="auto"/>
                <w:sz w:val="20"/>
                <w:szCs w:val="20"/>
              </w:rPr>
            </w:pPr>
            <w:r>
              <w:rPr>
                <w:rFonts w:eastAsia="Arial"/>
                <w:color w:val="auto"/>
                <w:lang w:eastAsia="ar-SA"/>
              </w:rPr>
              <w:t>____________________ J.Audzēvičs</w:t>
            </w:r>
          </w:p>
        </w:tc>
        <w:tc>
          <w:tcPr>
            <w:tcW w:w="4596" w:type="dxa"/>
            <w:shd w:val="clear" w:color="auto" w:fill="FFFFFF"/>
            <w:tcMar>
              <w:top w:w="0" w:type="dxa"/>
              <w:left w:w="108" w:type="dxa"/>
              <w:bottom w:w="0" w:type="dxa"/>
              <w:right w:w="108" w:type="dxa"/>
            </w:tcMar>
            <w:vAlign w:val="top"/>
          </w:tcPr>
          <w:p>
            <w:pPr>
              <w:tabs>
                <w:tab w:val="left" w:pos="720"/>
                <w:tab w:val="left" w:pos="810"/>
              </w:tabs>
              <w:suppressAutoHyphens/>
              <w:ind w:firstLine="567"/>
              <w:jc w:val="both"/>
              <w:rPr>
                <w:color w:val="auto"/>
                <w:sz w:val="26"/>
                <w:szCs w:val="20"/>
                <w:lang w:eastAsia="ar-SA"/>
              </w:rPr>
            </w:pPr>
            <w:r>
              <w:rPr>
                <w:b/>
                <w:color w:val="auto"/>
                <w:lang w:eastAsia="ar-SA"/>
              </w:rPr>
              <w:t xml:space="preserve">______________________________       </w:t>
            </w:r>
          </w:p>
          <w:p>
            <w:pPr>
              <w:tabs>
                <w:tab w:val="left" w:pos="720"/>
                <w:tab w:val="left" w:pos="810"/>
              </w:tabs>
              <w:suppressAutoHyphens/>
              <w:ind w:firstLine="567"/>
              <w:jc w:val="both"/>
              <w:rPr>
                <w:color w:val="auto"/>
                <w:sz w:val="26"/>
                <w:szCs w:val="20"/>
                <w:lang w:eastAsia="ar-SA"/>
              </w:rPr>
            </w:pPr>
            <w:r>
              <w:rPr>
                <w:color w:val="auto"/>
                <w:lang w:eastAsia="ar-SA"/>
              </w:rPr>
              <w:t>Reģ. Nr._______________________</w:t>
            </w:r>
          </w:p>
          <w:p>
            <w:pPr>
              <w:tabs>
                <w:tab w:val="left" w:pos="720"/>
                <w:tab w:val="left" w:pos="810"/>
              </w:tabs>
              <w:suppressAutoHyphens/>
              <w:ind w:firstLine="567"/>
              <w:jc w:val="both"/>
              <w:rPr>
                <w:color w:val="auto"/>
                <w:sz w:val="26"/>
                <w:szCs w:val="20"/>
                <w:lang w:eastAsia="ar-SA"/>
              </w:rPr>
            </w:pPr>
            <w:r>
              <w:rPr>
                <w:color w:val="auto"/>
                <w:lang w:eastAsia="ar-SA"/>
              </w:rPr>
              <w:t>______________________________</w:t>
            </w:r>
          </w:p>
          <w:p>
            <w:pPr>
              <w:tabs>
                <w:tab w:val="left" w:pos="720"/>
                <w:tab w:val="left" w:pos="810"/>
              </w:tabs>
              <w:suppressAutoHyphens/>
              <w:ind w:firstLine="567"/>
              <w:jc w:val="both"/>
              <w:rPr>
                <w:color w:val="auto"/>
                <w:sz w:val="26"/>
                <w:szCs w:val="20"/>
                <w:lang w:eastAsia="ar-SA"/>
              </w:rPr>
            </w:pPr>
            <w:r>
              <w:rPr>
                <w:color w:val="auto"/>
                <w:lang w:eastAsia="ar-SA"/>
              </w:rPr>
              <w:t>Konts: ________________________</w:t>
            </w:r>
          </w:p>
          <w:p>
            <w:pPr>
              <w:tabs>
                <w:tab w:val="left" w:pos="720"/>
                <w:tab w:val="left" w:pos="810"/>
              </w:tabs>
              <w:suppressAutoHyphens/>
              <w:ind w:firstLine="567"/>
              <w:jc w:val="both"/>
              <w:rPr>
                <w:color w:val="auto"/>
                <w:sz w:val="26"/>
                <w:szCs w:val="20"/>
                <w:lang w:eastAsia="ar-SA"/>
              </w:rPr>
            </w:pPr>
            <w:r>
              <w:rPr>
                <w:color w:val="auto"/>
                <w:lang w:eastAsia="ar-SA"/>
              </w:rPr>
              <w:t>______________________________</w:t>
            </w:r>
          </w:p>
          <w:p>
            <w:pPr>
              <w:tabs>
                <w:tab w:val="left" w:pos="720"/>
                <w:tab w:val="left" w:pos="810"/>
              </w:tabs>
              <w:suppressAutoHyphens/>
              <w:ind w:firstLine="567"/>
              <w:jc w:val="both"/>
              <w:rPr>
                <w:color w:val="auto"/>
                <w:sz w:val="26"/>
                <w:szCs w:val="20"/>
                <w:lang w:eastAsia="ar-SA"/>
              </w:rPr>
            </w:pPr>
          </w:p>
          <w:p>
            <w:pPr>
              <w:tabs>
                <w:tab w:val="left" w:pos="720"/>
                <w:tab w:val="left" w:pos="810"/>
              </w:tabs>
              <w:suppressAutoHyphens/>
              <w:jc w:val="both"/>
              <w:rPr>
                <w:color w:val="auto"/>
                <w:sz w:val="26"/>
                <w:szCs w:val="20"/>
                <w:lang w:eastAsia="ar-SA"/>
              </w:rPr>
            </w:pPr>
          </w:p>
          <w:p>
            <w:pPr>
              <w:tabs>
                <w:tab w:val="left" w:pos="720"/>
                <w:tab w:val="left" w:pos="810"/>
              </w:tabs>
              <w:suppressAutoHyphens/>
              <w:ind w:firstLine="567"/>
              <w:jc w:val="both"/>
              <w:rPr>
                <w:color w:val="auto"/>
                <w:sz w:val="26"/>
                <w:szCs w:val="20"/>
                <w:lang w:eastAsia="ar-SA"/>
              </w:rPr>
            </w:pPr>
            <w:r>
              <w:rPr>
                <w:color w:val="auto"/>
                <w:lang w:eastAsia="ar-SA"/>
              </w:rPr>
              <w:t xml:space="preserve">_______________________ </w:t>
            </w:r>
          </w:p>
        </w:tc>
      </w:tr>
    </w:tbl>
    <w:p>
      <w:pPr>
        <w:suppressAutoHyphens/>
        <w:jc w:val="center"/>
        <w:rPr>
          <w:b/>
          <w:color w:val="FF0000"/>
        </w:rPr>
      </w:pPr>
    </w:p>
    <w:p>
      <w:pPr>
        <w:rPr>
          <w:color w:val="FF0000"/>
        </w:rPr>
      </w:pPr>
    </w:p>
    <w:p>
      <w:pPr>
        <w:rPr>
          <w:rFonts w:cs="Times New Roman"/>
          <w:b/>
          <w:bCs/>
          <w:color w:val="FF0000"/>
          <w:szCs w:val="24"/>
        </w:rPr>
      </w:pPr>
    </w:p>
    <w:sectPr>
      <w:pgSz w:w="11906" w:h="16838"/>
      <w:pgMar w:top="1134" w:right="1134" w:bottom="1134" w:left="1701" w:header="708" w:footer="709" w:gutter="0"/>
      <w:paperSrc w:first="0" w:oth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BA"/>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BA"/>
    <w:family w:val="modern"/>
    <w:pitch w:val="default"/>
    <w:sig w:usb0="E0002AFF" w:usb1="C0007843" w:usb2="00000009" w:usb3="00000000" w:csb0="400001FF" w:csb1="FFFF0000"/>
  </w:font>
  <w:font w:name="Calibri">
    <w:panose1 w:val="020F0502020204030204"/>
    <w:charset w:val="BA"/>
    <w:family w:val="auto"/>
    <w:pitch w:val="default"/>
    <w:sig w:usb0="E00002FF" w:usb1="4000ACFF" w:usb2="00000001" w:usb3="00000000" w:csb0="2000019F" w:csb1="00000000"/>
  </w:font>
  <w:font w:name="Segoe UI">
    <w:panose1 w:val="020B0502040204020203"/>
    <w:charset w:val="BA"/>
    <w:family w:val="auto"/>
    <w:pitch w:val="default"/>
    <w:sig w:usb0="E10022FF" w:usb1="C000E47F" w:usb2="00000029" w:usb3="00000000" w:csb0="200001DF" w:csb1="20000000"/>
  </w:font>
  <w:font w:name="Lucida Sans Unicode">
    <w:panose1 w:val="020B0602030504020204"/>
    <w:charset w:val="BA"/>
    <w:family w:val="auto"/>
    <w:pitch w:val="default"/>
    <w:sig w:usb0="80001AFF" w:usb1="0000396B" w:usb2="00000000" w:usb3="00000000" w:csb0="200000BF" w:csb1="D7F70000"/>
  </w:font>
  <w:font w:name="Times-Roman">
    <w:altName w:val="Times New Roman"/>
    <w:panose1 w:val="00000000000000000000"/>
    <w:charset w:val="00"/>
    <w:family w:val="auto"/>
    <w:pitch w:val="default"/>
    <w:sig w:usb0="00000000" w:usb1="00000000" w:usb2="00000000" w:usb3="00000000" w:csb0="00040001" w:csb1="00000000"/>
  </w:font>
  <w:font w:name="26krzlcoljlsoja">
    <w:altName w:val="Times New Roman"/>
    <w:panose1 w:val="00000000000000000000"/>
    <w:charset w:val="EE"/>
    <w:family w:val="auto"/>
    <w:pitch w:val="default"/>
    <w:sig w:usb0="00000000" w:usb1="00000000" w:usb2="00000000" w:usb3="00000000" w:csb0="00040001" w:csb1="00000000"/>
  </w:font>
  <w:font w:name="!Neo">
    <w:altName w:val="Cambria"/>
    <w:panose1 w:val="00000000000000000000"/>
    <w:charset w:val="00"/>
    <w:family w:val="auto"/>
    <w:pitch w:val="default"/>
    <w:sig w:usb0="00000000" w:usb1="00000000" w:usb2="00000000" w:usb3="00000000" w:csb0="00040001" w:csb1="00000000"/>
  </w:font>
  <w:font w:name="Cambria">
    <w:panose1 w:val="02040503050406030204"/>
    <w:charset w:val="00"/>
    <w:family w:val="auto"/>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858543539">
    <w:nsid w:val="6EC71FB3"/>
    <w:multiLevelType w:val="multilevel"/>
    <w:tmpl w:val="6EC71FB3"/>
    <w:lvl w:ilvl="0" w:tentative="1">
      <w:start w:val="1"/>
      <w:numFmt w:val="decimal"/>
      <w:lvlText w:val="%1."/>
      <w:lvlJc w:val="left"/>
      <w:pPr>
        <w:tabs>
          <w:tab w:val="left" w:pos="360"/>
        </w:tabs>
        <w:ind w:left="360" w:hanging="360"/>
      </w:pPr>
      <w:rPr>
        <w:rFonts w:cs="Times New Roman"/>
        <w:b/>
      </w:rPr>
    </w:lvl>
    <w:lvl w:ilvl="1" w:tentative="1">
      <w:start w:val="1"/>
      <w:numFmt w:val="decimal"/>
      <w:lvlText w:val="%1.%2."/>
      <w:lvlJc w:val="left"/>
      <w:pPr>
        <w:tabs>
          <w:tab w:val="left" w:pos="792"/>
        </w:tabs>
        <w:ind w:left="792" w:hanging="792"/>
      </w:pPr>
      <w:rPr>
        <w:rFonts w:cs="Times New Roman"/>
        <w:b w:val="0"/>
        <w:i w:val="0"/>
      </w:rPr>
    </w:lvl>
    <w:lvl w:ilvl="2" w:tentative="1">
      <w:start w:val="1"/>
      <w:numFmt w:val="decimal"/>
      <w:lvlText w:val="%1.%2.%3."/>
      <w:lvlJc w:val="left"/>
      <w:pPr>
        <w:tabs>
          <w:tab w:val="left" w:pos="1224"/>
        </w:tabs>
        <w:ind w:left="1224" w:hanging="1224"/>
      </w:pPr>
      <w:rPr>
        <w:rFonts w:cs="Times New Roman"/>
        <w:b w:val="0"/>
        <w:i w:val="0"/>
      </w:rPr>
    </w:lvl>
    <w:lvl w:ilvl="3" w:tentative="1">
      <w:start w:val="1"/>
      <w:numFmt w:val="lowerLetter"/>
      <w:lvlText w:val="%4)"/>
      <w:lvlJc w:val="left"/>
      <w:pPr>
        <w:tabs>
          <w:tab w:val="left" w:pos="1728"/>
        </w:tabs>
        <w:ind w:left="1728" w:hanging="1728"/>
      </w:pPr>
      <w:rPr>
        <w:rFonts w:ascii="Times New Roman" w:hAnsi="Times New Roman" w:eastAsia="Times New Roman" w:cs="Times New Roman"/>
        <w:b w:val="0"/>
      </w:rPr>
    </w:lvl>
    <w:lvl w:ilvl="4" w:tentative="1">
      <w:start w:val="1"/>
      <w:numFmt w:val="decimal"/>
      <w:lvlText w:val="%1.%2.%3.%4.%5."/>
      <w:lvlJc w:val="left"/>
      <w:pPr>
        <w:tabs>
          <w:tab w:val="left" w:pos="2232"/>
        </w:tabs>
        <w:ind w:left="2232" w:hanging="2232"/>
      </w:pPr>
      <w:rPr>
        <w:rFonts w:cs="Times New Roman"/>
      </w:rPr>
    </w:lvl>
    <w:lvl w:ilvl="5" w:tentative="1">
      <w:start w:val="1"/>
      <w:numFmt w:val="decimal"/>
      <w:lvlText w:val="%1.%2.%3.%4.%5.%6."/>
      <w:lvlJc w:val="left"/>
      <w:pPr>
        <w:tabs>
          <w:tab w:val="left" w:pos="2736"/>
        </w:tabs>
        <w:ind w:left="2736" w:hanging="2736"/>
      </w:pPr>
      <w:rPr>
        <w:rFonts w:cs="Times New Roman"/>
      </w:rPr>
    </w:lvl>
    <w:lvl w:ilvl="6" w:tentative="1">
      <w:start w:val="1"/>
      <w:numFmt w:val="decimal"/>
      <w:lvlText w:val="%1.%2.%3.%4.%5.%6.%7."/>
      <w:lvlJc w:val="left"/>
      <w:pPr>
        <w:tabs>
          <w:tab w:val="left" w:pos="3240"/>
        </w:tabs>
        <w:ind w:left="3240" w:hanging="3240"/>
      </w:pPr>
      <w:rPr>
        <w:rFonts w:cs="Times New Roman"/>
      </w:rPr>
    </w:lvl>
    <w:lvl w:ilvl="7" w:tentative="1">
      <w:start w:val="1"/>
      <w:numFmt w:val="decimal"/>
      <w:lvlText w:val="%1.%2.%3.%4.%5.%6.%7.%8."/>
      <w:lvlJc w:val="left"/>
      <w:pPr>
        <w:tabs>
          <w:tab w:val="left" w:pos="4320"/>
        </w:tabs>
        <w:ind w:left="3744" w:hanging="1224"/>
      </w:pPr>
      <w:rPr>
        <w:rFonts w:cs="Times New Roman"/>
      </w:rPr>
    </w:lvl>
    <w:lvl w:ilvl="8" w:tentative="1">
      <w:start w:val="1"/>
      <w:numFmt w:val="decimal"/>
      <w:lvlText w:val="%1.%2.%3.%4.%5.%6.%7.%8.%9."/>
      <w:lvlJc w:val="left"/>
      <w:pPr>
        <w:tabs>
          <w:tab w:val="left" w:pos="5040"/>
        </w:tabs>
        <w:ind w:left="4320" w:hanging="1440"/>
      </w:pPr>
      <w:rPr>
        <w:rFonts w:cs="Times New Roman"/>
      </w:rPr>
    </w:lvl>
  </w:abstractNum>
  <w:abstractNum w:abstractNumId="1583927545">
    <w:nsid w:val="5E68D0F9"/>
    <w:multiLevelType w:val="singleLevel"/>
    <w:tmpl w:val="5E68D0F9"/>
    <w:lvl w:ilvl="0" w:tentative="1">
      <w:start w:val="5"/>
      <w:numFmt w:val="decimal"/>
      <w:lvlText w:val="%1."/>
      <w:lvlJc w:val="left"/>
      <w:pPr>
        <w:tabs>
          <w:tab w:val="left" w:pos="425"/>
        </w:tabs>
        <w:ind w:left="425" w:leftChars="0" w:hanging="425" w:firstLineChars="0"/>
      </w:pPr>
      <w:rPr>
        <w:rFonts w:hint="default"/>
      </w:rPr>
    </w:lvl>
  </w:abstractNum>
  <w:abstractNum w:abstractNumId="240914825">
    <w:nsid w:val="0E5C1189"/>
    <w:multiLevelType w:val="multilevel"/>
    <w:tmpl w:val="0E5C1189"/>
    <w:lvl w:ilvl="0" w:tentative="1">
      <w:start w:val="1"/>
      <w:numFmt w:val="decimal"/>
      <w:lvlText w:val="%1."/>
      <w:lvlJc w:val="left"/>
      <w:pPr>
        <w:tabs>
          <w:tab w:val="left" w:pos="851"/>
        </w:tabs>
        <w:ind w:left="851" w:hanging="851"/>
      </w:pPr>
      <w:rPr>
        <w:rFonts w:hint="default" w:ascii="Times New Roman" w:hAnsi="Times New Roman" w:cs="Times New Roman"/>
        <w:b w:val="0"/>
        <w:sz w:val="24"/>
        <w:szCs w:val="24"/>
      </w:rPr>
    </w:lvl>
    <w:lvl w:ilvl="1" w:tentative="1">
      <w:start w:val="1"/>
      <w:numFmt w:val="decimal"/>
      <w:pStyle w:val="9"/>
      <w:lvlText w:val="%1.%2."/>
      <w:lvlJc w:val="left"/>
      <w:pPr>
        <w:tabs>
          <w:tab w:val="left" w:pos="851"/>
        </w:tabs>
        <w:ind w:left="851" w:hanging="851"/>
      </w:pPr>
      <w:rPr>
        <w:rFonts w:hint="default" w:ascii="Times New Roman" w:hAnsi="Times New Roman" w:cs="Times New Roman"/>
        <w:b w:val="0"/>
        <w:color w:val="auto"/>
        <w:sz w:val="24"/>
        <w:szCs w:val="24"/>
      </w:rPr>
    </w:lvl>
    <w:lvl w:ilvl="2" w:tentative="1">
      <w:start w:val="1"/>
      <w:numFmt w:val="decimal"/>
      <w:lvlText w:val="%1.%2.%3."/>
      <w:lvlJc w:val="left"/>
      <w:pPr>
        <w:tabs>
          <w:tab w:val="left" w:pos="851"/>
        </w:tabs>
        <w:ind w:left="851" w:hanging="851"/>
      </w:pPr>
      <w:rPr>
        <w:rFonts w:hint="default" w:ascii="Times New Roman" w:hAnsi="Times New Roman" w:cs="Times New Roman"/>
        <w:b w:val="0"/>
        <w:i w:val="0"/>
        <w:sz w:val="24"/>
        <w:szCs w:val="24"/>
      </w:rPr>
    </w:lvl>
    <w:lvl w:ilvl="3" w:tentative="1">
      <w:start w:val="1"/>
      <w:numFmt w:val="decimal"/>
      <w:lvlText w:val="1.13.%4. "/>
      <w:lvlJc w:val="left"/>
      <w:pPr>
        <w:tabs>
          <w:tab w:val="left" w:pos="1135"/>
        </w:tabs>
        <w:ind w:left="1135" w:hanging="851"/>
      </w:pPr>
      <w:rPr>
        <w:rFonts w:hint="default" w:ascii="Times New Roman" w:hAnsi="Times New Roman" w:cs="Times New Roman"/>
        <w:b w:val="0"/>
        <w:i w:val="0"/>
        <w:sz w:val="24"/>
        <w:u w:val="none"/>
      </w:rPr>
    </w:lvl>
    <w:lvl w:ilvl="4" w:tentative="1">
      <w:start w:val="1"/>
      <w:numFmt w:val="decimal"/>
      <w:lvlText w:val="%1.%2.%3.%4.%5."/>
      <w:lvlJc w:val="left"/>
      <w:pPr>
        <w:tabs>
          <w:tab w:val="left" w:pos="5400"/>
        </w:tabs>
        <w:ind w:left="5400" w:hanging="1080"/>
      </w:pPr>
      <w:rPr>
        <w:rFonts w:hint="default"/>
      </w:rPr>
    </w:lvl>
    <w:lvl w:ilvl="5" w:tentative="1">
      <w:start w:val="1"/>
      <w:numFmt w:val="decimal"/>
      <w:lvlText w:val="%1.%2.%3.%4.%5.%6."/>
      <w:lvlJc w:val="left"/>
      <w:pPr>
        <w:tabs>
          <w:tab w:val="left" w:pos="6480"/>
        </w:tabs>
        <w:ind w:left="6480" w:hanging="1080"/>
      </w:pPr>
      <w:rPr>
        <w:rFonts w:hint="default"/>
      </w:rPr>
    </w:lvl>
    <w:lvl w:ilvl="6" w:tentative="1">
      <w:start w:val="1"/>
      <w:numFmt w:val="decimal"/>
      <w:lvlText w:val="%1.%2.%3.%4.%5.%6.%7."/>
      <w:lvlJc w:val="left"/>
      <w:pPr>
        <w:tabs>
          <w:tab w:val="left" w:pos="7920"/>
        </w:tabs>
        <w:ind w:left="7920" w:hanging="1440"/>
      </w:pPr>
      <w:rPr>
        <w:rFonts w:hint="default"/>
      </w:rPr>
    </w:lvl>
    <w:lvl w:ilvl="7" w:tentative="1">
      <w:start w:val="1"/>
      <w:numFmt w:val="decimal"/>
      <w:lvlText w:val="%1.%2.%3.%4.%5.%6.%7.%8."/>
      <w:lvlJc w:val="left"/>
      <w:pPr>
        <w:tabs>
          <w:tab w:val="left" w:pos="9000"/>
        </w:tabs>
        <w:ind w:left="9000" w:hanging="1440"/>
      </w:pPr>
      <w:rPr>
        <w:rFonts w:hint="default"/>
      </w:rPr>
    </w:lvl>
    <w:lvl w:ilvl="8" w:tentative="1">
      <w:start w:val="1"/>
      <w:numFmt w:val="decimal"/>
      <w:lvlText w:val="%1.%2.%3.%4.%5.%6.%7.%8.%9."/>
      <w:lvlJc w:val="left"/>
      <w:pPr>
        <w:tabs>
          <w:tab w:val="left" w:pos="10440"/>
        </w:tabs>
        <w:ind w:left="10440" w:hanging="1800"/>
      </w:pPr>
      <w:rPr>
        <w:rFonts w:hint="default"/>
      </w:rPr>
    </w:lvl>
  </w:abstractNum>
  <w:abstractNum w:abstractNumId="2">
    <w:nsid w:val="00000002"/>
    <w:multiLevelType w:val="multilevel"/>
    <w:tmpl w:val="00000002"/>
    <w:lvl w:ilvl="0" w:tentative="1">
      <w:start w:val="1"/>
      <w:numFmt w:val="decimal"/>
      <w:lvlText w:val="%1."/>
      <w:lvlJc w:val="left"/>
      <w:pPr>
        <w:tabs>
          <w:tab w:val="left" w:pos="0"/>
        </w:tabs>
        <w:ind w:left="360" w:hanging="360"/>
      </w:pPr>
      <w:rPr>
        <w:rFonts w:cs="Times New Roman"/>
      </w:rPr>
    </w:lvl>
    <w:lvl w:ilvl="1" w:tentative="1">
      <w:start w:val="1"/>
      <w:numFmt w:val="decimal"/>
      <w:isLgl/>
      <w:lvlText w:val="%1.%2."/>
      <w:lvlJc w:val="left"/>
      <w:pPr>
        <w:ind w:left="1152" w:hanging="540"/>
      </w:pPr>
      <w:rPr>
        <w:rFonts w:hint="default"/>
      </w:rPr>
    </w:lvl>
    <w:lvl w:ilvl="2" w:tentative="1">
      <w:start w:val="5"/>
      <w:numFmt w:val="decimal"/>
      <w:isLgl/>
      <w:lvlText w:val="%1.%2.%3."/>
      <w:lvlJc w:val="left"/>
      <w:pPr>
        <w:ind w:left="1944" w:hanging="720"/>
      </w:pPr>
      <w:rPr>
        <w:rFonts w:hint="default"/>
      </w:rPr>
    </w:lvl>
    <w:lvl w:ilvl="3" w:tentative="1">
      <w:start w:val="1"/>
      <w:numFmt w:val="decimal"/>
      <w:isLgl/>
      <w:lvlText w:val="%1.%2.%3.%4."/>
      <w:lvlJc w:val="left"/>
      <w:pPr>
        <w:ind w:left="2556" w:hanging="720"/>
      </w:pPr>
      <w:rPr>
        <w:rFonts w:hint="default"/>
      </w:rPr>
    </w:lvl>
    <w:lvl w:ilvl="4" w:tentative="1">
      <w:start w:val="1"/>
      <w:numFmt w:val="decimal"/>
      <w:isLgl/>
      <w:lvlText w:val="%1.%2.%3.%4.%5."/>
      <w:lvlJc w:val="left"/>
      <w:pPr>
        <w:ind w:left="3528" w:hanging="1080"/>
      </w:pPr>
      <w:rPr>
        <w:rFonts w:hint="default"/>
      </w:rPr>
    </w:lvl>
    <w:lvl w:ilvl="5" w:tentative="1">
      <w:start w:val="1"/>
      <w:numFmt w:val="decimal"/>
      <w:isLgl/>
      <w:lvlText w:val="%1.%2.%3.%4.%5.%6."/>
      <w:lvlJc w:val="left"/>
      <w:pPr>
        <w:ind w:left="4140" w:hanging="1080"/>
      </w:pPr>
      <w:rPr>
        <w:rFonts w:hint="default"/>
      </w:rPr>
    </w:lvl>
    <w:lvl w:ilvl="6" w:tentative="1">
      <w:start w:val="1"/>
      <w:numFmt w:val="decimal"/>
      <w:isLgl/>
      <w:lvlText w:val="%1.%2.%3.%4.%5.%6.%7."/>
      <w:lvlJc w:val="left"/>
      <w:pPr>
        <w:ind w:left="5112" w:hanging="1440"/>
      </w:pPr>
      <w:rPr>
        <w:rFonts w:hint="default"/>
      </w:rPr>
    </w:lvl>
    <w:lvl w:ilvl="7" w:tentative="1">
      <w:start w:val="1"/>
      <w:numFmt w:val="decimal"/>
      <w:isLgl/>
      <w:lvlText w:val="%1.%2.%3.%4.%5.%6.%7.%8."/>
      <w:lvlJc w:val="left"/>
      <w:pPr>
        <w:ind w:left="5724" w:hanging="1440"/>
      </w:pPr>
      <w:rPr>
        <w:rFonts w:hint="default"/>
      </w:rPr>
    </w:lvl>
    <w:lvl w:ilvl="8" w:tentative="1">
      <w:start w:val="1"/>
      <w:numFmt w:val="decimal"/>
      <w:isLgl/>
      <w:lvlText w:val="%1.%2.%3.%4.%5.%6.%7.%8.%9."/>
      <w:lvlJc w:val="left"/>
      <w:pPr>
        <w:ind w:left="6696" w:hanging="1800"/>
      </w:pPr>
      <w:rPr>
        <w:rFonts w:hint="default"/>
      </w:rPr>
    </w:lvl>
  </w:abstractNum>
  <w:abstractNum w:abstractNumId="1583926863">
    <w:nsid w:val="5E68CE4F"/>
    <w:multiLevelType w:val="multilevel"/>
    <w:tmpl w:val="5E68CE4F"/>
    <w:lvl w:ilvl="0" w:tentative="1">
      <w:start w:val="1"/>
      <w:numFmt w:val="decimal"/>
      <w:lvlText w:val="4.%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374157969">
    <w:nsid w:val="164D3291"/>
    <w:multiLevelType w:val="multilevel"/>
    <w:tmpl w:val="164D3291"/>
    <w:lvl w:ilvl="0" w:tentative="1">
      <w:start w:val="1"/>
      <w:numFmt w:val="lowerLetter"/>
      <w:lvlText w:val="%1)"/>
      <w:lvlJc w:val="left"/>
      <w:pPr>
        <w:tabs>
          <w:tab w:val="left" w:pos="2040"/>
        </w:tabs>
        <w:ind w:left="2040" w:hanging="360"/>
      </w:pPr>
      <w:rPr>
        <w:rFonts w:hint="default"/>
      </w:rPr>
    </w:lvl>
    <w:lvl w:ilvl="1" w:tentative="1">
      <w:start w:val="1"/>
      <w:numFmt w:val="decimal"/>
      <w:lvlText w:val="%2."/>
      <w:lvlJc w:val="left"/>
      <w:pPr>
        <w:tabs>
          <w:tab w:val="left" w:pos="2760"/>
        </w:tabs>
        <w:ind w:left="2760" w:hanging="360"/>
      </w:pPr>
      <w:rPr>
        <w:rFonts w:hint="default"/>
      </w:rPr>
    </w:lvl>
    <w:lvl w:ilvl="2" w:tentative="1">
      <w:start w:val="1"/>
      <w:numFmt w:val="decimal"/>
      <w:lvlText w:val="%3)"/>
      <w:lvlJc w:val="left"/>
      <w:pPr>
        <w:ind w:left="3660" w:hanging="360"/>
      </w:pPr>
      <w:rPr>
        <w:rFonts w:hint="default"/>
        <w:b w:val="0"/>
      </w:rPr>
    </w:lvl>
    <w:lvl w:ilvl="3" w:tentative="1">
      <w:start w:val="1"/>
      <w:numFmt w:val="decimal"/>
      <w:lvlText w:val="%4."/>
      <w:lvlJc w:val="left"/>
      <w:pPr>
        <w:tabs>
          <w:tab w:val="left" w:pos="4200"/>
        </w:tabs>
        <w:ind w:left="4200" w:hanging="360"/>
      </w:pPr>
    </w:lvl>
    <w:lvl w:ilvl="4" w:tentative="1">
      <w:start w:val="1"/>
      <w:numFmt w:val="lowerLetter"/>
      <w:lvlText w:val="%5."/>
      <w:lvlJc w:val="left"/>
      <w:pPr>
        <w:tabs>
          <w:tab w:val="left" w:pos="4920"/>
        </w:tabs>
        <w:ind w:left="4920" w:hanging="360"/>
      </w:pPr>
    </w:lvl>
    <w:lvl w:ilvl="5" w:tentative="1">
      <w:start w:val="1"/>
      <w:numFmt w:val="lowerRoman"/>
      <w:lvlText w:val="%6."/>
      <w:lvlJc w:val="right"/>
      <w:pPr>
        <w:tabs>
          <w:tab w:val="left" w:pos="5640"/>
        </w:tabs>
        <w:ind w:left="5640" w:hanging="180"/>
      </w:pPr>
    </w:lvl>
    <w:lvl w:ilvl="6" w:tentative="1">
      <w:start w:val="1"/>
      <w:numFmt w:val="decimal"/>
      <w:lvlText w:val="%7."/>
      <w:lvlJc w:val="left"/>
      <w:pPr>
        <w:tabs>
          <w:tab w:val="left" w:pos="6360"/>
        </w:tabs>
        <w:ind w:left="6360" w:hanging="360"/>
      </w:pPr>
    </w:lvl>
    <w:lvl w:ilvl="7" w:tentative="1">
      <w:start w:val="1"/>
      <w:numFmt w:val="lowerLetter"/>
      <w:lvlText w:val="%8."/>
      <w:lvlJc w:val="left"/>
      <w:pPr>
        <w:tabs>
          <w:tab w:val="left" w:pos="7080"/>
        </w:tabs>
        <w:ind w:left="7080" w:hanging="360"/>
      </w:pPr>
    </w:lvl>
    <w:lvl w:ilvl="8" w:tentative="1">
      <w:start w:val="1"/>
      <w:numFmt w:val="lowerRoman"/>
      <w:lvlText w:val="%9."/>
      <w:lvlJc w:val="right"/>
      <w:pPr>
        <w:tabs>
          <w:tab w:val="left" w:pos="7800"/>
        </w:tabs>
        <w:ind w:left="7800" w:hanging="180"/>
      </w:pPr>
    </w:lvl>
  </w:abstractNum>
  <w:abstractNum w:abstractNumId="1583928782">
    <w:nsid w:val="5E68D5CE"/>
    <w:multiLevelType w:val="singleLevel"/>
    <w:tmpl w:val="5E68D5CE"/>
    <w:lvl w:ilvl="0" w:tentative="1">
      <w:start w:val="7"/>
      <w:numFmt w:val="decimal"/>
      <w:lvlText w:val="%1."/>
      <w:lvlJc w:val="left"/>
      <w:pPr>
        <w:tabs>
          <w:tab w:val="left" w:pos="425"/>
        </w:tabs>
        <w:ind w:left="425" w:leftChars="0" w:hanging="425" w:firstLineChars="0"/>
      </w:pPr>
      <w:rPr>
        <w:rFonts w:hint="default"/>
      </w:rPr>
    </w:lvl>
  </w:abstractNum>
  <w:abstractNum w:abstractNumId="1583927649">
    <w:nsid w:val="5E68D161"/>
    <w:multiLevelType w:val="multilevel"/>
    <w:tmpl w:val="5E68D161"/>
    <w:lvl w:ilvl="0" w:tentative="1">
      <w:start w:val="1"/>
      <w:numFmt w:val="decimal"/>
      <w:lvlText w:val="5.1.%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8112">
    <w:nsid w:val="5E68D330"/>
    <w:multiLevelType w:val="multilevel"/>
    <w:tmpl w:val="5E68D330"/>
    <w:lvl w:ilvl="0" w:tentative="1">
      <w:start w:val="12"/>
      <w:numFmt w:val="decimal"/>
      <w:lvlText w:val="5.1.%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8317">
    <w:nsid w:val="5E68D3FD"/>
    <w:multiLevelType w:val="multilevel"/>
    <w:tmpl w:val="5E68D3FD"/>
    <w:lvl w:ilvl="0" w:tentative="1">
      <w:start w:val="1"/>
      <w:numFmt w:val="decimal"/>
      <w:lvlText w:val="5.2.%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40701">
    <w:nsid w:val="5E69045D"/>
    <w:multiLevelType w:val="multilevel"/>
    <w:tmpl w:val="5E69045D"/>
    <w:lvl w:ilvl="0" w:tentative="1">
      <w:start w:val="4"/>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6649">
    <w:nsid w:val="5E68CD79"/>
    <w:multiLevelType w:val="multilevel"/>
    <w:tmpl w:val="5E68CD79"/>
    <w:lvl w:ilvl="0" w:tentative="1">
      <w:start w:val="1"/>
      <w:numFmt w:val="decimal"/>
      <w:lvlText w:val="1.%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40515">
    <w:nsid w:val="5E6903A3"/>
    <w:multiLevelType w:val="multilevel"/>
    <w:tmpl w:val="5E6903A3"/>
    <w:lvl w:ilvl="0" w:tentative="1">
      <w:start w:val="1"/>
      <w:numFmt w:val="decimal"/>
      <w:lvlText w:val="5.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0460">
    <w:nsid w:val="5E68B54C"/>
    <w:multiLevelType w:val="multilevel"/>
    <w:tmpl w:val="5E68B54C"/>
    <w:lvl w:ilvl="0" w:tentative="1">
      <w:start w:val="1"/>
      <w:numFmt w:val="decimal"/>
      <w:lvlText w:val="%1."/>
      <w:lvlJc w:val="left"/>
      <w:pPr>
        <w:tabs>
          <w:tab w:val="left" w:pos="425"/>
        </w:tabs>
        <w:ind w:left="425" w:leftChars="0" w:hanging="425" w:firstLineChars="0"/>
      </w:pPr>
      <w:rPr>
        <w:rFonts w:hint="default"/>
      </w:rPr>
    </w:lvl>
    <w:lvl w:ilvl="1" w:tentative="1">
      <w:start w:val="1"/>
      <w:numFmt w:val="none"/>
      <w:lvlText w:val="5.2.%1."/>
      <w:lvlJc w:val="left"/>
      <w:pPr>
        <w:tabs>
          <w:tab w:val="left" w:pos="567"/>
        </w:tabs>
        <w:ind w:left="567" w:leftChars="0" w:hanging="567" w:firstLineChars="0"/>
      </w:pPr>
      <w:rPr>
        <w:rFonts w:hint="default" w:ascii="Times New Roman" w:hAnsi="Times New Roman" w:eastAsia="SimSun" w:cs="SimSun"/>
        <w:sz w:val="24"/>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40466">
    <w:nsid w:val="5E690372"/>
    <w:multiLevelType w:val="multilevel"/>
    <w:tmpl w:val="5E690372"/>
    <w:lvl w:ilvl="0" w:tentative="1">
      <w:start w:val="3"/>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6783">
    <w:nsid w:val="5E68CDFF"/>
    <w:multiLevelType w:val="multilevel"/>
    <w:tmpl w:val="5E68CDFF"/>
    <w:lvl w:ilvl="0" w:tentative="1">
      <w:start w:val="1"/>
      <w:numFmt w:val="decimal"/>
      <w:lvlText w:val="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7596">
    <w:nsid w:val="5E68D12C"/>
    <w:multiLevelType w:val="multilevel"/>
    <w:tmpl w:val="5E68D12C"/>
    <w:lvl w:ilvl="0" w:tentative="1">
      <w:start w:val="1"/>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8999">
    <w:nsid w:val="5E68D6A7"/>
    <w:multiLevelType w:val="multilevel"/>
    <w:tmpl w:val="5E68D6A7"/>
    <w:lvl w:ilvl="0" w:tentative="1">
      <w:start w:val="7"/>
      <w:numFmt w:val="decimal"/>
      <w:lvlText w:val="%1."/>
      <w:lvlJc w:val="left"/>
      <w:pPr>
        <w:tabs>
          <w:tab w:val="left" w:pos="360"/>
        </w:tabs>
        <w:ind w:left="360" w:hanging="360"/>
      </w:pPr>
      <w:rPr>
        <w:b/>
      </w:rPr>
    </w:lvl>
    <w:lvl w:ilvl="1" w:tentative="1">
      <w:start w:val="1"/>
      <w:numFmt w:val="decimal"/>
      <w:lvlText w:val="9.%2."/>
      <w:lvlJc w:val="left"/>
      <w:pPr>
        <w:tabs>
          <w:tab w:val="left" w:pos="360"/>
        </w:tabs>
        <w:ind w:left="360" w:hanging="360"/>
      </w:pPr>
      <w:rPr>
        <w:rFonts w:hint="default" w:ascii="Times New Roman" w:hAnsi="Times New Roman" w:eastAsia="SimSun" w:cs="SimSun"/>
        <w:b w:val="0"/>
        <w:sz w:val="24"/>
      </w:rPr>
    </w:lvl>
    <w:lvl w:ilvl="2" w:tentative="1">
      <w:start w:val="1"/>
      <w:numFmt w:val="decimal"/>
      <w:lvlText w:val="%1.%2.%3."/>
      <w:lvlJc w:val="left"/>
      <w:pPr>
        <w:tabs>
          <w:tab w:val="left" w:pos="720"/>
        </w:tabs>
        <w:ind w:left="720" w:hanging="720"/>
      </w:pPr>
    </w:lvl>
    <w:lvl w:ilvl="3" w:tentative="1">
      <w:start w:val="1"/>
      <w:numFmt w:val="decimal"/>
      <w:lvlText w:val="%1.%2.%3.%4."/>
      <w:lvlJc w:val="left"/>
      <w:pPr>
        <w:tabs>
          <w:tab w:val="left" w:pos="720"/>
        </w:tabs>
        <w:ind w:left="720" w:hanging="720"/>
      </w:pPr>
    </w:lvl>
    <w:lvl w:ilvl="4" w:tentative="1">
      <w:start w:val="1"/>
      <w:numFmt w:val="decimal"/>
      <w:lvlText w:val="%1.%2.%3.%4.%5."/>
      <w:lvlJc w:val="left"/>
      <w:pPr>
        <w:tabs>
          <w:tab w:val="left" w:pos="1080"/>
        </w:tabs>
        <w:ind w:left="1080" w:hanging="1080"/>
      </w:pPr>
    </w:lvl>
    <w:lvl w:ilvl="5" w:tentative="1">
      <w:start w:val="1"/>
      <w:numFmt w:val="decimal"/>
      <w:lvlText w:val="%1.%2.%3.%4.%5.%6."/>
      <w:lvlJc w:val="left"/>
      <w:pPr>
        <w:tabs>
          <w:tab w:val="left" w:pos="1080"/>
        </w:tabs>
        <w:ind w:left="1080" w:hanging="1080"/>
      </w:pPr>
    </w:lvl>
    <w:lvl w:ilvl="6" w:tentative="1">
      <w:start w:val="1"/>
      <w:numFmt w:val="decimal"/>
      <w:lvlText w:val="%1.%2.%3.%4.%5.%6.%7."/>
      <w:lvlJc w:val="left"/>
      <w:pPr>
        <w:tabs>
          <w:tab w:val="left" w:pos="1440"/>
        </w:tabs>
        <w:ind w:left="1440" w:hanging="1440"/>
      </w:pPr>
    </w:lvl>
    <w:lvl w:ilvl="7" w:tentative="1">
      <w:start w:val="1"/>
      <w:numFmt w:val="decimal"/>
      <w:lvlText w:val="%1.%2.%3.%4.%5.%6.%7.%8."/>
      <w:lvlJc w:val="left"/>
      <w:pPr>
        <w:tabs>
          <w:tab w:val="left" w:pos="1440"/>
        </w:tabs>
        <w:ind w:left="1440" w:hanging="1440"/>
      </w:pPr>
    </w:lvl>
    <w:lvl w:ilvl="8" w:tentative="1">
      <w:start w:val="1"/>
      <w:numFmt w:val="decimal"/>
      <w:lvlText w:val="%1.%2.%3.%4.%5.%6.%7.%8.%9."/>
      <w:lvlJc w:val="left"/>
      <w:pPr>
        <w:tabs>
          <w:tab w:val="left" w:pos="1800"/>
        </w:tabs>
        <w:ind w:left="1800" w:hanging="1800"/>
      </w:pPr>
    </w:lvl>
  </w:abstractNum>
  <w:abstractNum w:abstractNumId="1913157986">
    <w:nsid w:val="72087962"/>
    <w:multiLevelType w:val="multilevel"/>
    <w:tmpl w:val="72087962"/>
    <w:lvl w:ilvl="0" w:tentative="1">
      <w:start w:val="6"/>
      <w:numFmt w:val="decimal"/>
      <w:lvlText w:val="%1."/>
      <w:lvlJc w:val="left"/>
      <w:pPr>
        <w:ind w:left="360" w:hanging="360"/>
      </w:pPr>
      <w:rPr>
        <w:rFonts w:hint="default"/>
        <w:b w:val="0"/>
      </w:rPr>
    </w:lvl>
    <w:lvl w:ilvl="1" w:tentative="1">
      <w:start w:val="3"/>
      <w:numFmt w:val="decimal"/>
      <w:lvlText w:val="%1.%2."/>
      <w:lvlJc w:val="left"/>
      <w:pPr>
        <w:ind w:left="360" w:hanging="360"/>
      </w:pPr>
      <w:rPr>
        <w:rFonts w:hint="default"/>
        <w:b w:val="0"/>
      </w:rPr>
    </w:lvl>
    <w:lvl w:ilvl="2" w:tentative="1">
      <w:start w:val="1"/>
      <w:numFmt w:val="decimal"/>
      <w:lvlText w:val="%1.%2.%3."/>
      <w:lvlJc w:val="left"/>
      <w:pPr>
        <w:ind w:left="720" w:hanging="720"/>
      </w:pPr>
      <w:rPr>
        <w:rFonts w:hint="default"/>
        <w:b w:val="0"/>
      </w:rPr>
    </w:lvl>
    <w:lvl w:ilvl="3" w:tentative="1">
      <w:start w:val="1"/>
      <w:numFmt w:val="decimal"/>
      <w:lvlText w:val="%1.%2.%3.%4."/>
      <w:lvlJc w:val="left"/>
      <w:pPr>
        <w:ind w:left="720" w:hanging="720"/>
      </w:pPr>
      <w:rPr>
        <w:rFonts w:hint="default"/>
        <w:b w:val="0"/>
      </w:rPr>
    </w:lvl>
    <w:lvl w:ilvl="4" w:tentative="1">
      <w:start w:val="1"/>
      <w:numFmt w:val="decimal"/>
      <w:lvlText w:val="%1.%2.%3.%4.%5."/>
      <w:lvlJc w:val="left"/>
      <w:pPr>
        <w:ind w:left="1080" w:hanging="1080"/>
      </w:pPr>
      <w:rPr>
        <w:rFonts w:hint="default"/>
        <w:b w:val="0"/>
      </w:rPr>
    </w:lvl>
    <w:lvl w:ilvl="5" w:tentative="1">
      <w:start w:val="1"/>
      <w:numFmt w:val="decimal"/>
      <w:lvlText w:val="%1.%2.%3.%4.%5.%6."/>
      <w:lvlJc w:val="left"/>
      <w:pPr>
        <w:ind w:left="1080" w:hanging="1080"/>
      </w:pPr>
      <w:rPr>
        <w:rFonts w:hint="default"/>
        <w:b w:val="0"/>
      </w:rPr>
    </w:lvl>
    <w:lvl w:ilvl="6" w:tentative="1">
      <w:start w:val="1"/>
      <w:numFmt w:val="decimal"/>
      <w:lvlText w:val="%1.%2.%3.%4.%5.%6.%7."/>
      <w:lvlJc w:val="left"/>
      <w:pPr>
        <w:ind w:left="1440" w:hanging="1440"/>
      </w:pPr>
      <w:rPr>
        <w:rFonts w:hint="default"/>
        <w:b w:val="0"/>
      </w:rPr>
    </w:lvl>
    <w:lvl w:ilvl="7" w:tentative="1">
      <w:start w:val="1"/>
      <w:numFmt w:val="decimal"/>
      <w:lvlText w:val="%1.%2.%3.%4.%5.%6.%7.%8."/>
      <w:lvlJc w:val="left"/>
      <w:pPr>
        <w:ind w:left="1440" w:hanging="1440"/>
      </w:pPr>
      <w:rPr>
        <w:rFonts w:hint="default"/>
        <w:b w:val="0"/>
      </w:rPr>
    </w:lvl>
    <w:lvl w:ilvl="8" w:tentative="1">
      <w:start w:val="1"/>
      <w:numFmt w:val="decimal"/>
      <w:lvlText w:val="%1.%2.%3.%4.%5.%6.%7.%8.%9."/>
      <w:lvlJc w:val="left"/>
      <w:pPr>
        <w:ind w:left="1800" w:hanging="1800"/>
      </w:pPr>
      <w:rPr>
        <w:rFonts w:hint="default"/>
        <w:b w:val="0"/>
      </w:rPr>
    </w:lvl>
  </w:abstractNum>
  <w:abstractNum w:abstractNumId="1583920556">
    <w:nsid w:val="5E68B5AC"/>
    <w:multiLevelType w:val="multilevel"/>
    <w:tmpl w:val="5E68B5AC"/>
    <w:lvl w:ilvl="0" w:tentative="1">
      <w:start w:val="3"/>
      <w:numFmt w:val="decimal"/>
      <w:lvlText w:val="5.2.%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6960">
    <w:nsid w:val="5E68CEB0"/>
    <w:multiLevelType w:val="multilevel"/>
    <w:tmpl w:val="5E68CEB0"/>
    <w:lvl w:ilvl="0" w:tentative="1">
      <w:start w:val="1"/>
      <w:numFmt w:val="decimal"/>
      <w:lvlText w:val="4.1.%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9103">
    <w:nsid w:val="5E68D70F"/>
    <w:multiLevelType w:val="multilevel"/>
    <w:tmpl w:val="5E68D70F"/>
    <w:lvl w:ilvl="0" w:tentative="1">
      <w:start w:val="3"/>
      <w:numFmt w:val="decimal"/>
      <w:lvlText w:val="8.%1."/>
      <w:lvlJc w:val="left"/>
      <w:pPr>
        <w:tabs>
          <w:tab w:val="left" w:pos="425"/>
        </w:tabs>
        <w:ind w:left="425" w:leftChars="0" w:hanging="425" w:firstLineChars="0"/>
      </w:pPr>
      <w:rPr>
        <w:rFonts w:hint="default" w:ascii="Times New Roman" w:hAnsi="Times New Roman" w:eastAsia="SimSun" w:cs="SimSun"/>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6714">
    <w:nsid w:val="5E68CDBA"/>
    <w:multiLevelType w:val="multilevel"/>
    <w:tmpl w:val="5E68CDBA"/>
    <w:lvl w:ilvl="0" w:tentative="1">
      <w:start w:val="1"/>
      <w:numFmt w:val="decimal"/>
      <w:lvlText w:val="2.%1."/>
      <w:lvlJc w:val="left"/>
      <w:pPr>
        <w:tabs>
          <w:tab w:val="left" w:pos="425"/>
        </w:tabs>
        <w:ind w:left="425" w:leftChars="0" w:hanging="425" w:firstLineChars="0"/>
      </w:pPr>
      <w:rPr>
        <w:rFonts w:hint="default" w:ascii="Times New Roman" w:hAnsi="Times New Roman" w:eastAsia="SimSun" w:cs="SimSun"/>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9058">
    <w:nsid w:val="5E68D6E2"/>
    <w:multiLevelType w:val="multilevel"/>
    <w:tmpl w:val="5E68D6E2"/>
    <w:lvl w:ilvl="0" w:tentative="1">
      <w:start w:val="1"/>
      <w:numFmt w:val="decimal"/>
      <w:lvlText w:val="8.%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7066">
    <w:nsid w:val="5E68CF1A"/>
    <w:multiLevelType w:val="multilevel"/>
    <w:tmpl w:val="5E68CF1A"/>
    <w:lvl w:ilvl="0" w:tentative="1">
      <w:start w:val="2"/>
      <w:numFmt w:val="decimal"/>
      <w:lvlText w:val="4.%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8273">
    <w:nsid w:val="5E68D3D1"/>
    <w:multiLevelType w:val="multilevel"/>
    <w:tmpl w:val="5E68D3D1"/>
    <w:lvl w:ilvl="0" w:tentative="1">
      <w:start w:val="2"/>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7108">
    <w:nsid w:val="5E68CF44"/>
    <w:multiLevelType w:val="multilevel"/>
    <w:tmpl w:val="5E68CF44"/>
    <w:lvl w:ilvl="0" w:tentative="1">
      <w:start w:val="1"/>
      <w:numFmt w:val="decimal"/>
      <w:lvlText w:val="4.2.%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0291">
    <w:nsid w:val="5E68DBB3"/>
    <w:multiLevelType w:val="singleLevel"/>
    <w:tmpl w:val="5E68DBB3"/>
    <w:lvl w:ilvl="0" w:tentative="1">
      <w:start w:val="1"/>
      <w:numFmt w:val="decimal"/>
      <w:suff w:val="nothing"/>
      <w:lvlText w:val="%1."/>
      <w:lvlJc w:val="left"/>
    </w:lvl>
  </w:abstractNum>
  <w:abstractNum w:abstractNumId="1187868668">
    <w:nsid w:val="46CD6FFC"/>
    <w:multiLevelType w:val="multilevel"/>
    <w:tmpl w:val="46CD6FFC"/>
    <w:lvl w:ilvl="0" w:tentative="1">
      <w:start w:val="1"/>
      <w:numFmt w:val="decimal"/>
      <w:lvlText w:val="%1."/>
      <w:lvlJc w:val="left"/>
      <w:pPr>
        <w:ind w:left="720" w:hanging="360"/>
      </w:pPr>
      <w:rPr>
        <w:b/>
      </w:rPr>
    </w:lvl>
    <w:lvl w:ilvl="1" w:tentative="1">
      <w:start w:val="1"/>
      <w:numFmt w:val="decimal"/>
      <w:isLgl/>
      <w:lvlText w:val="%1.%2."/>
      <w:lvlJc w:val="left"/>
      <w:pPr>
        <w:ind w:left="780" w:hanging="42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1583940639">
    <w:nsid w:val="5E69041F"/>
    <w:multiLevelType w:val="multilevel"/>
    <w:tmpl w:val="5E69041F"/>
    <w:lvl w:ilvl="0" w:tentative="1">
      <w:start w:val="18"/>
      <w:numFmt w:val="decimal"/>
      <w:lvlText w:val="5.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609577798">
    <w:nsid w:val="5FF03546"/>
    <w:multiLevelType w:val="multilevel"/>
    <w:tmpl w:val="5FF03546"/>
    <w:lvl w:ilvl="0" w:tentative="1">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48703409">
    <w:nsid w:val="388C10B1"/>
    <w:multiLevelType w:val="multilevel"/>
    <w:tmpl w:val="388C10B1"/>
    <w:lvl w:ilvl="0" w:tentative="1">
      <w:start w:val="1"/>
      <w:numFmt w:val="lowerLetter"/>
      <w:lvlText w:val="%1)"/>
      <w:lvlJc w:val="left"/>
      <w:pPr>
        <w:ind w:left="720" w:hanging="360"/>
      </w:pPr>
      <w:rPr>
        <w:rFonts w:ascii="Times New Roman" w:hAnsi="Times New Roman" w:eastAsia="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83940794">
    <w:nsid w:val="5E6904BA"/>
    <w:multiLevelType w:val="multilevel"/>
    <w:tmpl w:val="5E6904BA"/>
    <w:lvl w:ilvl="0" w:tentative="1">
      <w:start w:val="1"/>
      <w:numFmt w:val="decimal"/>
      <w:lvlText w:val="5.4.%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40874">
    <w:nsid w:val="5E69050A"/>
    <w:multiLevelType w:val="multilevel"/>
    <w:tmpl w:val="5E69050A"/>
    <w:lvl w:ilvl="0" w:tentative="1">
      <w:start w:val="5"/>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3173">
    <w:nsid w:val="5E68E6F5"/>
    <w:multiLevelType w:val="multilevel"/>
    <w:tmpl w:val="5E68E6F5"/>
    <w:lvl w:ilvl="0" w:tentative="1">
      <w:start w:val="5"/>
      <w:numFmt w:val="decimal"/>
      <w:lvlText w:val="6.%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9520">
    <w:nsid w:val="5E68FFC0"/>
    <w:multiLevelType w:val="singleLevel"/>
    <w:tmpl w:val="5E68FFC0"/>
    <w:lvl w:ilvl="0" w:tentative="1">
      <w:start w:val="4"/>
      <w:numFmt w:val="decimal"/>
      <w:suff w:val="space"/>
      <w:lvlText w:val="%1."/>
      <w:lvlJc w:val="left"/>
    </w:lvl>
  </w:abstractNum>
  <w:abstractNum w:abstractNumId="1583939474">
    <w:nsid w:val="5E68FF92"/>
    <w:multiLevelType w:val="multilevel"/>
    <w:tmpl w:val="5E68FF92"/>
    <w:lvl w:ilvl="0" w:tentative="1">
      <w:start w:val="1"/>
      <w:numFmt w:val="decimal"/>
      <w:lvlText w:val="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3029">
    <w:nsid w:val="5E68E665"/>
    <w:multiLevelType w:val="multilevel"/>
    <w:tmpl w:val="5E68E665"/>
    <w:lvl w:ilvl="0" w:tentative="1">
      <w:start w:val="1"/>
      <w:numFmt w:val="decimal"/>
      <w:lvlText w:val="6.4.%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9666">
    <w:nsid w:val="5E690052"/>
    <w:multiLevelType w:val="multilevel"/>
    <w:tmpl w:val="5E690052"/>
    <w:lvl w:ilvl="0" w:tentative="1">
      <w:start w:val="1"/>
      <w:numFmt w:val="decimal"/>
      <w:lvlText w:val="5.%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2855">
    <w:nsid w:val="5E68E5B7"/>
    <w:multiLevelType w:val="multilevel"/>
    <w:tmpl w:val="5E68E5B7"/>
    <w:lvl w:ilvl="0" w:tentative="1">
      <w:start w:val="1"/>
      <w:numFmt w:val="decimal"/>
      <w:lvlText w:val="6.3.2.%1."/>
      <w:lvlJc w:val="left"/>
      <w:pPr>
        <w:tabs>
          <w:tab w:val="left" w:pos="425"/>
        </w:tabs>
        <w:ind w:left="425" w:leftChars="0" w:hanging="425" w:firstLineChars="0"/>
      </w:pPr>
      <w:rPr>
        <w:rFonts w:hint="default" w:ascii="Times New Roman" w:hAnsi="Times New Roman" w:eastAsia="SimSun" w:cs="SimSun"/>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8712">
    <w:nsid w:val="5E68FC98"/>
    <w:multiLevelType w:val="multilevel"/>
    <w:tmpl w:val="5E68FC98"/>
    <w:lvl w:ilvl="0" w:tentative="1">
      <w:start w:val="1"/>
      <w:numFmt w:val="decimal"/>
      <w:lvlText w:val="7.%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406487854">
    <w:nsid w:val="53D54D2E"/>
    <w:multiLevelType w:val="multilevel"/>
    <w:tmpl w:val="53D54D2E"/>
    <w:lvl w:ilvl="0" w:tentative="1">
      <w:start w:val="8"/>
      <w:numFmt w:val="decimal"/>
      <w:lvlText w:val="%1."/>
      <w:lvlJc w:val="left"/>
      <w:pPr>
        <w:ind w:left="360" w:hanging="360"/>
      </w:pPr>
      <w:rPr>
        <w:b/>
      </w:rPr>
    </w:lvl>
    <w:lvl w:ilvl="1" w:tentative="1">
      <w:start w:val="1"/>
      <w:numFmt w:val="decimal"/>
      <w:lvlText w:val="%1.%2."/>
      <w:lvlJc w:val="left"/>
      <w:pPr>
        <w:ind w:left="644" w:hanging="360"/>
      </w:pPr>
      <w:rPr>
        <w:b w:val="0"/>
      </w:rPr>
    </w:lvl>
    <w:lvl w:ilvl="2" w:tentative="1">
      <w:start w:val="1"/>
      <w:numFmt w:val="decimal"/>
      <w:lvlText w:val="%3."/>
      <w:lvlJc w:val="left"/>
      <w:pPr>
        <w:ind w:left="720" w:hanging="720"/>
      </w:pPr>
      <w:rPr>
        <w:rFonts w:ascii="Times New Roman" w:hAnsi="Times New Roman" w:eastAsia="Times New Roman" w:cs="Times New Roman"/>
        <w:b w:val="0"/>
      </w:rPr>
    </w:lvl>
    <w:lvl w:ilvl="3" w:tentative="1">
      <w:start w:val="1"/>
      <w:numFmt w:val="decimal"/>
      <w:lvlText w:val="%1.%2.%3.%4."/>
      <w:lvlJc w:val="left"/>
      <w:pPr>
        <w:ind w:left="720" w:hanging="720"/>
      </w:pPr>
    </w:lvl>
    <w:lvl w:ilvl="4" w:tentative="1">
      <w:start w:val="1"/>
      <w:numFmt w:val="decimal"/>
      <w:lvlText w:val="%1.%2.%3.%4.%5."/>
      <w:lvlJc w:val="left"/>
      <w:pPr>
        <w:ind w:left="1080" w:hanging="1080"/>
      </w:pPr>
    </w:lvl>
    <w:lvl w:ilvl="5" w:tentative="1">
      <w:start w:val="1"/>
      <w:numFmt w:val="decimal"/>
      <w:lvlText w:val="%1.%2.%3.%4.%5.%6."/>
      <w:lvlJc w:val="left"/>
      <w:pPr>
        <w:ind w:left="1080" w:hanging="1080"/>
      </w:pPr>
    </w:lvl>
    <w:lvl w:ilvl="6" w:tentative="1">
      <w:start w:val="1"/>
      <w:numFmt w:val="decimal"/>
      <w:lvlText w:val="%1.%2.%3.%4.%5.%6.%7."/>
      <w:lvlJc w:val="left"/>
      <w:pPr>
        <w:ind w:left="1440" w:hanging="1440"/>
      </w:pPr>
    </w:lvl>
    <w:lvl w:ilvl="7" w:tentative="1">
      <w:start w:val="1"/>
      <w:numFmt w:val="decimal"/>
      <w:lvlText w:val="%1.%2.%3.%4.%5.%6.%7.%8."/>
      <w:lvlJc w:val="left"/>
      <w:pPr>
        <w:ind w:left="1440" w:hanging="1440"/>
      </w:pPr>
    </w:lvl>
    <w:lvl w:ilvl="8" w:tentative="1">
      <w:start w:val="1"/>
      <w:numFmt w:val="decimal"/>
      <w:lvlText w:val="%1.%2.%3.%4.%5.%6.%7.%8.%9."/>
      <w:lvlJc w:val="left"/>
      <w:pPr>
        <w:ind w:left="1800" w:hanging="1800"/>
      </w:pPr>
    </w:lvl>
  </w:abstractNum>
  <w:abstractNum w:abstractNumId="1583932540">
    <w:nsid w:val="5E68E47C"/>
    <w:multiLevelType w:val="multilevel"/>
    <w:tmpl w:val="5E68E47C"/>
    <w:lvl w:ilvl="0" w:tentative="1">
      <w:start w:val="1"/>
      <w:numFmt w:val="decimal"/>
      <w:lvlText w:val="6.3.%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492910735">
    <w:nsid w:val="58FC028F"/>
    <w:multiLevelType w:val="multilevel"/>
    <w:tmpl w:val="58FC028F"/>
    <w:lvl w:ilvl="0" w:tentative="1">
      <w:start w:val="1"/>
      <w:numFmt w:val="decimal"/>
      <w:lvlText w:val="%1."/>
      <w:lvlJc w:val="left"/>
      <w:pPr>
        <w:tabs>
          <w:tab w:val="left" w:pos="720"/>
        </w:tabs>
        <w:ind w:left="720" w:hanging="360"/>
      </w:pPr>
    </w:lvl>
    <w:lvl w:ilvl="1" w:tentative="1">
      <w:start w:val="1"/>
      <w:numFmt w:val="decimal"/>
      <w:isLgl/>
      <w:lvlText w:val="%1.%2."/>
      <w:lvlJc w:val="left"/>
      <w:pPr>
        <w:tabs>
          <w:tab w:val="left" w:pos="795"/>
        </w:tabs>
        <w:ind w:left="795" w:hanging="435"/>
      </w:pPr>
    </w:lvl>
    <w:lvl w:ilvl="2" w:tentative="1">
      <w:start w:val="1"/>
      <w:numFmt w:val="decimal"/>
      <w:isLgl/>
      <w:lvlText w:val="%1.%2.%3."/>
      <w:lvlJc w:val="left"/>
      <w:pPr>
        <w:tabs>
          <w:tab w:val="left" w:pos="1080"/>
        </w:tabs>
        <w:ind w:left="1080" w:hanging="720"/>
      </w:pPr>
    </w:lvl>
    <w:lvl w:ilvl="3" w:tentative="1">
      <w:start w:val="1"/>
      <w:numFmt w:val="decimal"/>
      <w:isLgl/>
      <w:lvlText w:val="%1.%2.%3.%4."/>
      <w:lvlJc w:val="left"/>
      <w:pPr>
        <w:tabs>
          <w:tab w:val="left" w:pos="1080"/>
        </w:tabs>
        <w:ind w:left="1080" w:hanging="720"/>
      </w:pPr>
    </w:lvl>
    <w:lvl w:ilvl="4" w:tentative="1">
      <w:start w:val="1"/>
      <w:numFmt w:val="decimal"/>
      <w:isLgl/>
      <w:lvlText w:val="%1.%2.%3.%4.%5."/>
      <w:lvlJc w:val="left"/>
      <w:pPr>
        <w:tabs>
          <w:tab w:val="left" w:pos="1440"/>
        </w:tabs>
        <w:ind w:left="1440" w:hanging="1080"/>
      </w:pPr>
    </w:lvl>
    <w:lvl w:ilvl="5" w:tentative="1">
      <w:start w:val="1"/>
      <w:numFmt w:val="decimal"/>
      <w:isLgl/>
      <w:lvlText w:val="%1.%2.%3.%4.%5.%6."/>
      <w:lvlJc w:val="left"/>
      <w:pPr>
        <w:tabs>
          <w:tab w:val="left" w:pos="1440"/>
        </w:tabs>
        <w:ind w:left="1440" w:hanging="1080"/>
      </w:pPr>
    </w:lvl>
    <w:lvl w:ilvl="6" w:tentative="1">
      <w:start w:val="1"/>
      <w:numFmt w:val="decimal"/>
      <w:isLgl/>
      <w:lvlText w:val="%1.%2.%3.%4.%5.%6.%7."/>
      <w:lvlJc w:val="left"/>
      <w:pPr>
        <w:tabs>
          <w:tab w:val="left" w:pos="1800"/>
        </w:tabs>
        <w:ind w:left="1800" w:hanging="1440"/>
      </w:pPr>
    </w:lvl>
    <w:lvl w:ilvl="7" w:tentative="1">
      <w:start w:val="1"/>
      <w:numFmt w:val="decimal"/>
      <w:isLgl/>
      <w:lvlText w:val="%1.%2.%3.%4.%5.%6.%7.%8."/>
      <w:lvlJc w:val="left"/>
      <w:pPr>
        <w:tabs>
          <w:tab w:val="left" w:pos="1800"/>
        </w:tabs>
        <w:ind w:left="1800" w:hanging="1440"/>
      </w:pPr>
    </w:lvl>
    <w:lvl w:ilvl="8" w:tentative="1">
      <w:start w:val="1"/>
      <w:numFmt w:val="decimal"/>
      <w:isLgl/>
      <w:lvlText w:val="%1.%2.%3.%4.%5.%6.%7.%8.%9."/>
      <w:lvlJc w:val="left"/>
      <w:pPr>
        <w:tabs>
          <w:tab w:val="left" w:pos="2160"/>
        </w:tabs>
        <w:ind w:left="2160" w:hanging="1800"/>
      </w:pPr>
    </w:lvl>
  </w:abstractNum>
  <w:abstractNum w:abstractNumId="1583932979">
    <w:nsid w:val="5E68E633"/>
    <w:multiLevelType w:val="multilevel"/>
    <w:tmpl w:val="5E68E633"/>
    <w:lvl w:ilvl="0" w:tentative="1">
      <w:start w:val="4"/>
      <w:numFmt w:val="decimal"/>
      <w:lvlText w:val="6.%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29464">
    <w:nsid w:val="5E68D878"/>
    <w:multiLevelType w:val="multilevel"/>
    <w:tmpl w:val="5E68D878"/>
    <w:lvl w:ilvl="0" w:tentative="1">
      <w:start w:val="1"/>
      <w:numFmt w:val="decimal"/>
      <w:lvlText w:val="9.10.%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833715588">
    <w:nsid w:val="31B17D84"/>
    <w:multiLevelType w:val="multilevel"/>
    <w:tmpl w:val="31B17D84"/>
    <w:lvl w:ilvl="0" w:tentative="1">
      <w:start w:val="1"/>
      <w:numFmt w:val="decimal"/>
      <w:lvlText w:val="%1."/>
      <w:lvlJc w:val="left"/>
      <w:pPr>
        <w:ind w:left="1080" w:hanging="360"/>
      </w:pPr>
      <w:rPr>
        <w:rFonts w:hint="default"/>
        <w:i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83939556">
    <w:nsid w:val="5E68FFE4"/>
    <w:multiLevelType w:val="multilevel"/>
    <w:tmpl w:val="5E68FFE4"/>
    <w:lvl w:ilvl="0" w:tentative="1">
      <w:start w:val="1"/>
      <w:numFmt w:val="decimal"/>
      <w:lvlText w:val="4.%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2302">
    <w:nsid w:val="5E68E38E"/>
    <w:multiLevelType w:val="multilevel"/>
    <w:tmpl w:val="5E68E38E"/>
    <w:lvl w:ilvl="0" w:tentative="1">
      <w:start w:val="1"/>
      <w:numFmt w:val="decimal"/>
      <w:lvlText w:val="6.%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9347">
    <w:nsid w:val="5E68FF13"/>
    <w:multiLevelType w:val="multilevel"/>
    <w:tmpl w:val="5E68FF13"/>
    <w:lvl w:ilvl="0" w:tentative="1">
      <w:start w:val="1"/>
      <w:numFmt w:val="decimal"/>
      <w:lvlText w:val="10.%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sz w:val="24"/>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8763">
    <w:nsid w:val="5E68FCCB"/>
    <w:multiLevelType w:val="multilevel"/>
    <w:tmpl w:val="5E68FCCB"/>
    <w:lvl w:ilvl="0" w:tentative="1">
      <w:start w:val="1"/>
      <w:numFmt w:val="decimal"/>
      <w:lvlText w:val="8.%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9017">
    <w:nsid w:val="5E68FDC9"/>
    <w:multiLevelType w:val="multilevel"/>
    <w:tmpl w:val="5E68FDC9"/>
    <w:lvl w:ilvl="0" w:tentative="1">
      <w:start w:val="1"/>
      <w:numFmt w:val="decimal"/>
      <w:lvlText w:val="10.%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9380">
    <w:nsid w:val="5E68FF34"/>
    <w:multiLevelType w:val="multilevel"/>
    <w:tmpl w:val="5E68FF34"/>
    <w:lvl w:ilvl="0" w:tentative="1">
      <w:start w:val="1"/>
      <w:numFmt w:val="decimal"/>
      <w:lvlText w:val="2.%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8821">
    <w:nsid w:val="5E68FD05"/>
    <w:multiLevelType w:val="multilevel"/>
    <w:tmpl w:val="5E68FD05"/>
    <w:lvl w:ilvl="0" w:tentative="1">
      <w:start w:val="1"/>
      <w:numFmt w:val="decimal"/>
      <w:lvlText w:val="9.%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abstractNum w:abstractNumId="1583935288">
    <w:nsid w:val="5E68EF38"/>
    <w:multiLevelType w:val="multilevel"/>
    <w:tmpl w:val="5E68EF38"/>
    <w:lvl w:ilvl="0" w:tentative="1">
      <w:start w:val="1"/>
      <w:numFmt w:val="decimal"/>
      <w:lvlText w:val="5.8.%1."/>
      <w:lvlJc w:val="left"/>
      <w:pPr>
        <w:tabs>
          <w:tab w:val="left" w:pos="425"/>
        </w:tabs>
        <w:ind w:left="425" w:leftChars="0" w:hanging="425" w:firstLineChars="0"/>
      </w:pPr>
      <w:rPr>
        <w:rFonts w:hint="default" w:ascii="Times New Roman" w:hAnsi="Times New Roman" w:eastAsia="SimSun" w:cs="SimSun"/>
        <w:sz w:val="24"/>
      </w:rPr>
    </w:lvl>
    <w:lvl w:ilvl="1" w:tentative="1">
      <w:start w:val="1"/>
      <w:numFmt w:val="decimal"/>
      <w:lvlText w:val="%1.%2."/>
      <w:lvlJc w:val="left"/>
      <w:pPr>
        <w:tabs>
          <w:tab w:val="left" w:pos="567"/>
        </w:tabs>
        <w:ind w:left="567" w:leftChars="0" w:hanging="567" w:firstLineChars="0"/>
      </w:pPr>
      <w:rPr>
        <w:rFonts w:hint="default"/>
      </w:rPr>
    </w:lvl>
    <w:lvl w:ilvl="2" w:tentative="1">
      <w:start w:val="1"/>
      <w:numFmt w:val="decimal"/>
      <w:lvlText w:val="%1.%2.%3."/>
      <w:lvlJc w:val="left"/>
      <w:pPr>
        <w:tabs>
          <w:tab w:val="left" w:pos="709"/>
        </w:tabs>
        <w:ind w:left="709" w:leftChars="0" w:hanging="709" w:firstLineChars="0"/>
      </w:pPr>
      <w:rPr>
        <w:rFonts w:hint="default"/>
      </w:rPr>
    </w:lvl>
    <w:lvl w:ilvl="3" w:tentative="1">
      <w:start w:val="1"/>
      <w:numFmt w:val="decimal"/>
      <w:lvlText w:val="%1.%2.%3.%4."/>
      <w:lvlJc w:val="left"/>
      <w:pPr>
        <w:tabs>
          <w:tab w:val="left" w:pos="850"/>
        </w:tabs>
        <w:ind w:left="850" w:leftChars="0" w:hanging="850" w:firstLineChars="0"/>
      </w:pPr>
      <w:rPr>
        <w:rFonts w:hint="default"/>
      </w:rPr>
    </w:lvl>
    <w:lvl w:ilvl="4" w:tentative="1">
      <w:start w:val="1"/>
      <w:numFmt w:val="decimal"/>
      <w:lvlText w:val="%1.%2.%3.%4.%5."/>
      <w:lvlJc w:val="left"/>
      <w:pPr>
        <w:tabs>
          <w:tab w:val="left" w:pos="991"/>
        </w:tabs>
        <w:ind w:left="991" w:leftChars="0" w:hanging="991" w:firstLineChars="0"/>
      </w:pPr>
      <w:rPr>
        <w:rFonts w:hint="default"/>
      </w:rPr>
    </w:lvl>
    <w:lvl w:ilvl="5" w:tentative="1">
      <w:start w:val="1"/>
      <w:numFmt w:val="decimal"/>
      <w:lvlText w:val="%1.%2.%3.%4.%5.%6."/>
      <w:lvlJc w:val="left"/>
      <w:pPr>
        <w:tabs>
          <w:tab w:val="left" w:pos="1134"/>
        </w:tabs>
        <w:ind w:left="1134" w:leftChars="0" w:hanging="1134" w:firstLineChars="0"/>
      </w:pPr>
      <w:rPr>
        <w:rFonts w:hint="default"/>
      </w:rPr>
    </w:lvl>
    <w:lvl w:ilvl="6" w:tentative="1">
      <w:start w:val="1"/>
      <w:numFmt w:val="decimal"/>
      <w:lvlText w:val="%1.%2.%3.%4.%5.%6.%7."/>
      <w:lvlJc w:val="left"/>
      <w:pPr>
        <w:tabs>
          <w:tab w:val="left" w:pos="1275"/>
        </w:tabs>
        <w:ind w:left="1275" w:leftChars="0" w:hanging="1275" w:firstLineChars="0"/>
      </w:pPr>
      <w:rPr>
        <w:rFonts w:hint="default"/>
      </w:rPr>
    </w:lvl>
    <w:lvl w:ilvl="7" w:tentative="1">
      <w:start w:val="1"/>
      <w:numFmt w:val="decimal"/>
      <w:lvlText w:val="%1.%2.%3.%4.%5.%6.%7.%8."/>
      <w:lvlJc w:val="left"/>
      <w:pPr>
        <w:tabs>
          <w:tab w:val="left" w:pos="1418"/>
        </w:tabs>
        <w:ind w:left="1418" w:leftChars="0" w:hanging="1418" w:firstLineChars="0"/>
      </w:pPr>
      <w:rPr>
        <w:rFonts w:hint="default"/>
      </w:rPr>
    </w:lvl>
    <w:lvl w:ilvl="8" w:tentative="1">
      <w:start w:val="1"/>
      <w:numFmt w:val="decimal"/>
      <w:lvlText w:val="%1.%2.%3.%4.%5.%6.%7.%8.%9."/>
      <w:lvlJc w:val="left"/>
      <w:pPr>
        <w:tabs>
          <w:tab w:val="left" w:pos="1558"/>
        </w:tabs>
        <w:ind w:left="1558" w:leftChars="0" w:hanging="1558" w:firstLineChars="0"/>
      </w:pPr>
      <w:rPr>
        <w:rFonts w:hint="default"/>
      </w:rPr>
    </w:lvl>
  </w:abstractNum>
  <w:num w:numId="1">
    <w:abstractNumId w:val="240914825"/>
  </w:num>
  <w:num w:numId="2">
    <w:abstractNumId w:val="1583939347"/>
  </w:num>
  <w:num w:numId="3">
    <w:abstractNumId w:val="1583939380"/>
  </w:num>
  <w:num w:numId="4">
    <w:abstractNumId w:val="1583939474"/>
  </w:num>
  <w:num w:numId="5">
    <w:abstractNumId w:val="1583939520"/>
  </w:num>
  <w:num w:numId="6">
    <w:abstractNumId w:val="1583939556"/>
  </w:num>
  <w:num w:numId="7">
    <w:abstractNumId w:val="1583939666"/>
  </w:num>
  <w:num w:numId="8">
    <w:abstractNumId w:val="1583920460"/>
  </w:num>
  <w:num w:numId="9">
    <w:abstractNumId w:val="374157969"/>
  </w:num>
  <w:num w:numId="10">
    <w:abstractNumId w:val="1583920556"/>
  </w:num>
  <w:num w:numId="11">
    <w:abstractNumId w:val="1583940466"/>
  </w:num>
  <w:num w:numId="12">
    <w:abstractNumId w:val="1583940515"/>
  </w:num>
  <w:num w:numId="13">
    <w:abstractNumId w:val="1583940639"/>
  </w:num>
  <w:num w:numId="14">
    <w:abstractNumId w:val="1583940701"/>
  </w:num>
  <w:num w:numId="15">
    <w:abstractNumId w:val="1583940794"/>
  </w:num>
  <w:num w:numId="16">
    <w:abstractNumId w:val="1583940874"/>
  </w:num>
  <w:num w:numId="17">
    <w:abstractNumId w:val="1583935288"/>
  </w:num>
  <w:num w:numId="18">
    <w:abstractNumId w:val="1583932302"/>
  </w:num>
  <w:num w:numId="19">
    <w:abstractNumId w:val="1583932540"/>
  </w:num>
  <w:num w:numId="20">
    <w:abstractNumId w:val="1583932855"/>
  </w:num>
  <w:num w:numId="21">
    <w:abstractNumId w:val="1583932979"/>
  </w:num>
  <w:num w:numId="22">
    <w:abstractNumId w:val="1583933029"/>
  </w:num>
  <w:num w:numId="23">
    <w:abstractNumId w:val="1583933173"/>
  </w:num>
  <w:num w:numId="24">
    <w:abstractNumId w:val="1583938712"/>
  </w:num>
  <w:num w:numId="25">
    <w:abstractNumId w:val="1583938763"/>
  </w:num>
  <w:num w:numId="26">
    <w:abstractNumId w:val="1583938821"/>
  </w:num>
  <w:num w:numId="27">
    <w:abstractNumId w:val="1583939017"/>
  </w:num>
  <w:num w:numId="28">
    <w:abstractNumId w:val="833715588"/>
  </w:num>
  <w:num w:numId="29">
    <w:abstractNumId w:val="1492910735"/>
    <w:lvlOverride w:ilvl="0">
      <w:startOverride w:val="1"/>
    </w:lvlOverride>
  </w:num>
  <w:num w:numId="30">
    <w:abstractNumId w:val="1583930291"/>
  </w:num>
  <w:num w:numId="31">
    <w:abstractNumId w:val="1187868668"/>
    <w:lvlOverride w:ilvl="0">
      <w:startOverride w:val="1"/>
    </w:lvlOverride>
  </w:num>
  <w:num w:numId="32">
    <w:abstractNumId w:val="1609577798"/>
  </w:num>
  <w:num w:numId="33">
    <w:abstractNumId w:val="948703409"/>
  </w:num>
  <w:num w:numId="34">
    <w:abstractNumId w:val="1406487854"/>
  </w:num>
  <w:num w:numId="35">
    <w:abstractNumId w:val="2"/>
    <w:lvlOverride w:ilvl="0">
      <w:startOverride w:val="1"/>
    </w:lvlOverride>
  </w:num>
  <w:num w:numId="36">
    <w:abstractNumId w:val="1583926649"/>
  </w:num>
  <w:num w:numId="37">
    <w:abstractNumId w:val="1583926714"/>
  </w:num>
  <w:num w:numId="38">
    <w:abstractNumId w:val="1583926783"/>
  </w:num>
  <w:num w:numId="39">
    <w:abstractNumId w:val="1583926863"/>
  </w:num>
  <w:num w:numId="40">
    <w:abstractNumId w:val="1583926960"/>
  </w:num>
  <w:num w:numId="41">
    <w:abstractNumId w:val="1583927066"/>
  </w:num>
  <w:num w:numId="42">
    <w:abstractNumId w:val="1583927108"/>
  </w:num>
  <w:num w:numId="43">
    <w:abstractNumId w:val="1583927545"/>
  </w:num>
  <w:num w:numId="44">
    <w:abstractNumId w:val="1583927596"/>
  </w:num>
  <w:num w:numId="45">
    <w:abstractNumId w:val="1583927649"/>
  </w:num>
  <w:num w:numId="46">
    <w:abstractNumId w:val="1858543539"/>
  </w:num>
  <w:num w:numId="47">
    <w:abstractNumId w:val="1583928112"/>
  </w:num>
  <w:num w:numId="48">
    <w:abstractNumId w:val="1583928273"/>
  </w:num>
  <w:num w:numId="49">
    <w:abstractNumId w:val="1583928317"/>
  </w:num>
  <w:num w:numId="50">
    <w:abstractNumId w:val="1913157986"/>
  </w:num>
  <w:num w:numId="51">
    <w:abstractNumId w:val="1583928782"/>
  </w:num>
  <w:num w:numId="52">
    <w:abstractNumId w:val="1583929058"/>
  </w:num>
  <w:num w:numId="53">
    <w:abstractNumId w:val="1583929103"/>
  </w:num>
  <w:num w:numId="54">
    <w:abstractNumId w:val="1583928999"/>
  </w:num>
  <w:num w:numId="55">
    <w:abstractNumId w:val="1583929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160" w:line="259" w:lineRule="auto"/>
    </w:pPr>
    <w:rPr>
      <w:rFonts w:ascii="Times New Roman" w:hAnsi="Times New Roman" w:eastAsia="Calibri" w:cs="Times New Roman"/>
      <w:sz w:val="24"/>
      <w:szCs w:val="22"/>
      <w:lang w:val="en-US" w:eastAsia="en-US" w:bidi="ar-SA"/>
    </w:rPr>
  </w:style>
  <w:style w:type="character" w:default="1" w:styleId="6">
    <w:name w:val="Default Paragraph Font"/>
    <w:semiHidden/>
    <w:unhideWhenUsed/>
    <w:uiPriority w:val="1"/>
  </w:style>
  <w:style w:type="paragraph" w:styleId="2">
    <w:name w:val="Balloon Text"/>
    <w:basedOn w:val="1"/>
    <w:link w:val="12"/>
    <w:semiHidden/>
    <w:unhideWhenUsed/>
    <w:uiPriority w:val="99"/>
    <w:pPr>
      <w:spacing w:after="0" w:line="240" w:lineRule="auto"/>
    </w:pPr>
    <w:rPr>
      <w:rFonts w:ascii="Segoe UI" w:hAnsi="Segoe UI" w:cs="Segoe UI"/>
      <w:sz w:val="18"/>
      <w:szCs w:val="18"/>
    </w:rPr>
  </w:style>
  <w:style w:type="paragraph" w:styleId="3">
    <w:name w:val="footer"/>
    <w:basedOn w:val="1"/>
    <w:semiHidden/>
    <w:unhideWhenUsed/>
    <w:uiPriority w:val="0"/>
    <w:pPr>
      <w:tabs>
        <w:tab w:val="center" w:pos="4153"/>
        <w:tab w:val="right" w:pos="8306"/>
      </w:tabs>
      <w:snapToGrid w:val="0"/>
      <w:jc w:val="left"/>
    </w:pPr>
    <w:rPr>
      <w:sz w:val="18"/>
      <w:szCs w:val="18"/>
    </w:rPr>
  </w:style>
  <w:style w:type="paragraph" w:styleId="4">
    <w:name w:val="header"/>
    <w:basedOn w:val="1"/>
    <w:semiHidden/>
    <w:unhideWhenUsed/>
    <w:uiPriority w:val="0"/>
    <w:pPr>
      <w:tabs>
        <w:tab w:val="center" w:pos="4153"/>
        <w:tab w:val="right" w:pos="8306"/>
      </w:tabs>
      <w:snapToGrid w:val="0"/>
    </w:pPr>
    <w:rPr>
      <w:sz w:val="18"/>
      <w:szCs w:val="18"/>
    </w:rPr>
  </w:style>
  <w:style w:type="paragraph" w:styleId="5">
    <w:name w:val="HTML Preformatted"/>
    <w:basedOn w:val="1"/>
    <w:semiHidden/>
    <w:unhideWhenUs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7">
    <w:name w:val="Hyperlink"/>
    <w:basedOn w:val="6"/>
    <w:unhideWhenUsed/>
    <w:uiPriority w:val="99"/>
    <w:rPr>
      <w:color w:val="0563C1"/>
      <w:u w:val="single"/>
    </w:rPr>
  </w:style>
  <w:style w:type="paragraph" w:customStyle="1" w:styleId="8">
    <w:name w:val="List Paragraph"/>
    <w:basedOn w:val="1"/>
    <w:qFormat/>
    <w:uiPriority w:val="34"/>
    <w:pPr>
      <w:ind w:left="720"/>
      <w:contextualSpacing/>
    </w:pPr>
  </w:style>
  <w:style w:type="paragraph" w:customStyle="1" w:styleId="9">
    <w:name w:val="Apakšpunkts"/>
    <w:basedOn w:val="1"/>
    <w:uiPriority w:val="0"/>
    <w:pPr>
      <w:numPr>
        <w:ilvl w:val="1"/>
        <w:numId w:val="1"/>
      </w:numPr>
    </w:pPr>
    <w:rPr>
      <w:rFonts w:ascii="Arial" w:hAnsi="Arial"/>
      <w:b/>
      <w:sz w:val="20"/>
    </w:rPr>
  </w:style>
  <w:style w:type="paragraph" w:customStyle="1" w:styleId="10">
    <w:name w:val="Rindkopa"/>
    <w:basedOn w:val="1"/>
    <w:next w:val="1"/>
    <w:uiPriority w:val="0"/>
    <w:pPr>
      <w:suppressAutoHyphens/>
      <w:ind w:left="851"/>
      <w:jc w:val="both"/>
    </w:pPr>
    <w:rPr>
      <w:rFonts w:ascii="Arial" w:hAnsi="Arial" w:eastAsia="Calibri" w:cs="Arial"/>
      <w:sz w:val="20"/>
      <w:lang w:eastAsia="zh-CN"/>
    </w:rPr>
  </w:style>
  <w:style w:type="paragraph" w:customStyle="1" w:styleId="11">
    <w:name w:val="Colorful List - Accent 11"/>
    <w:basedOn w:val="1"/>
    <w:qFormat/>
    <w:uiPriority w:val="0"/>
    <w:pPr>
      <w:suppressAutoHyphens/>
      <w:spacing w:after="200" w:line="276" w:lineRule="auto"/>
      <w:ind w:left="720"/>
    </w:pPr>
    <w:rPr>
      <w:rFonts w:eastAsia="Calibri"/>
      <w:kern w:val="22"/>
      <w:sz w:val="22"/>
      <w:szCs w:val="22"/>
      <w:lang w:eastAsia="ar-SA"/>
    </w:rPr>
  </w:style>
  <w:style w:type="character" w:customStyle="1" w:styleId="12">
    <w:name w:val="Balloon Text Char"/>
    <w:basedOn w:val="6"/>
    <w:link w:val="2"/>
    <w:semiHidden/>
    <w:uiPriority w:val="99"/>
    <w:rPr>
      <w:rFonts w:ascii="Segoe UI" w:hAnsi="Segoe UI" w:cs="Segoe UI"/>
      <w:sz w:val="18"/>
      <w:szCs w:val="18"/>
    </w:rPr>
  </w:style>
  <w:style w:type="character" w:customStyle="1" w:styleId="13">
    <w:name w:val="Unresolved Mention"/>
    <w:basedOn w:val="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17575</Words>
  <Characters>10019</Characters>
  <Lines>83</Lines>
  <Paragraphs>55</Paragraphs>
  <ScaleCrop>false</ScaleCrop>
  <LinksUpToDate>false</LinksUpToDate>
  <CharactersWithSpaces>0</CharactersWithSpaces>
  <Application>WPS Office_9.1.0.4759_{F1E327BC-269C-435d-A152-05C5408002CA}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2019-10-09T07:34:00Z</dcterms:created>
  <dc:creator>Jurists</dc:creator>
  <cp:lastModifiedBy>Stella</cp:lastModifiedBy>
  <cp:lastPrinted>2020-03-12T13:20:56Z</cp:lastPrinted>
  <dcterms:modified xsi:type="dcterms:W3CDTF">2020-03-12T13:31:20Z</dcterms:modified>
  <dc:title>APSTIPRINĀTS</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1033-9.1.0.4759</vt:lpwstr>
  </property>
</Properties>
</file>