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val="left" w:pos="720"/>
          <w:tab w:val="center" w:pos="4320"/>
          <w:tab w:val="right" w:pos="8640"/>
        </w:tabs>
        <w:suppressAutoHyphens/>
        <w:spacing w:after="0" w:line="240" w:lineRule="auto"/>
        <w:jc w:val="right"/>
        <w:rPr>
          <w:rFonts w:eastAsia="Times New Roman" w:cs="Times New Roman"/>
          <w:color w:val="auto"/>
          <w:szCs w:val="24"/>
          <w:lang w:eastAsia="ar-SA"/>
        </w:rPr>
      </w:pPr>
      <w:r>
        <w:rPr>
          <w:rFonts w:eastAsia="Times New Roman" w:cs="Times New Roman"/>
          <w:color w:val="auto"/>
          <w:szCs w:val="24"/>
          <w:lang w:eastAsia="ar-SA"/>
        </w:rPr>
        <w:t>APSTIPRINĀTS</w:t>
      </w:r>
    </w:p>
    <w:p>
      <w:pPr>
        <w:suppressAutoHyphens/>
        <w:spacing w:after="0" w:line="240" w:lineRule="auto"/>
        <w:jc w:val="right"/>
        <w:rPr>
          <w:rFonts w:eastAsia="Times New Roman" w:cs="Times New Roman"/>
          <w:color w:val="auto"/>
          <w:szCs w:val="24"/>
          <w:lang w:eastAsia="ar-SA"/>
        </w:rPr>
      </w:pPr>
      <w:r>
        <w:rPr>
          <w:rFonts w:eastAsia="Times New Roman" w:cs="Times New Roman"/>
          <w:color w:val="auto"/>
          <w:szCs w:val="24"/>
          <w:lang w:eastAsia="ar-SA"/>
        </w:rPr>
        <w:t>SIA “DOBELES NAMSAIMNIEKS”</w:t>
      </w:r>
    </w:p>
    <w:p>
      <w:pPr>
        <w:suppressAutoHyphens/>
        <w:spacing w:after="0" w:line="240" w:lineRule="auto"/>
        <w:jc w:val="right"/>
        <w:rPr>
          <w:rFonts w:eastAsia="Times New Roman" w:cs="Times New Roman"/>
          <w:color w:val="auto"/>
          <w:szCs w:val="24"/>
          <w:lang w:eastAsia="ar-SA"/>
        </w:rPr>
      </w:pPr>
      <w:r>
        <w:rPr>
          <w:rFonts w:eastAsia="Times New Roman" w:cs="Times New Roman"/>
          <w:color w:val="auto"/>
          <w:szCs w:val="24"/>
          <w:lang w:eastAsia="ar-SA"/>
        </w:rPr>
        <w:t>iepirkumu komisijas sēdē</w:t>
      </w:r>
    </w:p>
    <w:p>
      <w:pPr>
        <w:suppressAutoHyphens/>
        <w:spacing w:after="0" w:line="240" w:lineRule="auto"/>
        <w:jc w:val="right"/>
        <w:rPr>
          <w:rFonts w:eastAsia="Times New Roman" w:cs="Times New Roman"/>
          <w:color w:val="auto"/>
          <w:szCs w:val="24"/>
          <w:lang w:eastAsia="ar-SA"/>
        </w:rPr>
      </w:pPr>
      <w:r>
        <w:rPr>
          <w:rFonts w:eastAsia="Times New Roman" w:cs="Times New Roman"/>
          <w:color w:val="auto"/>
          <w:szCs w:val="24"/>
          <w:lang w:eastAsia="ar-SA"/>
        </w:rPr>
        <w:t>20</w:t>
      </w:r>
      <w:r>
        <w:rPr>
          <w:rFonts w:hint="default" w:eastAsia="Times New Roman" w:cs="Times New Roman"/>
          <w:color w:val="auto"/>
          <w:szCs w:val="24"/>
          <w:lang w:eastAsia="ar-SA"/>
        </w:rPr>
        <w:t>20</w:t>
      </w:r>
      <w:r>
        <w:rPr>
          <w:rFonts w:eastAsia="Times New Roman" w:cs="Times New Roman"/>
          <w:color w:val="auto"/>
          <w:szCs w:val="24"/>
          <w:lang w:eastAsia="ar-SA"/>
        </w:rPr>
        <w:t xml:space="preserve">.gada </w:t>
      </w:r>
      <w:r>
        <w:rPr>
          <w:rFonts w:hint="default" w:eastAsia="Times New Roman" w:cs="Times New Roman"/>
          <w:color w:val="auto"/>
          <w:szCs w:val="24"/>
          <w:lang w:eastAsia="ar-SA"/>
        </w:rPr>
        <w:t>19</w:t>
      </w:r>
      <w:r>
        <w:rPr>
          <w:rFonts w:eastAsia="Times New Roman" w:cs="Times New Roman"/>
          <w:color w:val="auto"/>
          <w:szCs w:val="24"/>
          <w:lang w:eastAsia="ar-SA"/>
        </w:rPr>
        <w:t>.</w:t>
      </w:r>
      <w:r>
        <w:rPr>
          <w:rFonts w:hint="default" w:eastAsia="Times New Roman" w:cs="Times New Roman"/>
          <w:color w:val="auto"/>
          <w:szCs w:val="24"/>
          <w:lang w:eastAsia="ar-SA"/>
        </w:rPr>
        <w:t>jūnijā</w:t>
      </w:r>
    </w:p>
    <w:p>
      <w:pPr>
        <w:suppressAutoHyphens/>
        <w:spacing w:after="0" w:line="240" w:lineRule="auto"/>
        <w:jc w:val="right"/>
        <w:rPr>
          <w:rFonts w:eastAsia="Times New Roman" w:cs="Times New Roman"/>
          <w:color w:val="auto"/>
          <w:szCs w:val="24"/>
          <w:lang w:eastAsia="ar-SA"/>
        </w:rPr>
      </w:pPr>
      <w:r>
        <w:rPr>
          <w:rFonts w:eastAsia="Times New Roman" w:cs="Times New Roman"/>
          <w:color w:val="auto"/>
          <w:szCs w:val="24"/>
          <w:lang w:eastAsia="ar-SA"/>
        </w:rPr>
        <w:t>Protokols Nr.</w:t>
      </w:r>
      <w:r>
        <w:rPr>
          <w:rFonts w:hint="default" w:eastAsia="Times New Roman" w:cs="Times New Roman"/>
          <w:color w:val="auto"/>
          <w:szCs w:val="24"/>
          <w:lang w:eastAsia="ar-SA"/>
        </w:rPr>
        <w:t>39</w:t>
      </w:r>
    </w:p>
    <w:p>
      <w:pPr>
        <w:suppressAutoHyphens/>
        <w:spacing w:after="0" w:line="240" w:lineRule="auto"/>
        <w:jc w:val="right"/>
        <w:rPr>
          <w:rFonts w:eastAsia="Times New Roman" w:cs="Times New Roman"/>
          <w:color w:val="auto"/>
          <w:szCs w:val="24"/>
          <w:lang w:eastAsia="ar-SA"/>
        </w:rPr>
      </w:pPr>
      <w:r>
        <w:rPr>
          <w:rFonts w:eastAsia="Times New Roman" w:cs="Times New Roman"/>
          <w:color w:val="auto"/>
          <w:szCs w:val="24"/>
          <w:lang w:eastAsia="ar-SA"/>
        </w:rPr>
        <w:t>Iepirkuma komisijas priekšsēdētāja</w:t>
      </w:r>
    </w:p>
    <w:p>
      <w:pPr>
        <w:suppressAutoHyphens/>
        <w:spacing w:after="0" w:line="240" w:lineRule="auto"/>
        <w:jc w:val="right"/>
        <w:rPr>
          <w:rFonts w:eastAsia="Times New Roman" w:cs="Times New Roman"/>
          <w:color w:val="auto"/>
          <w:szCs w:val="24"/>
          <w:lang w:eastAsia="ar-SA"/>
        </w:rPr>
      </w:pPr>
    </w:p>
    <w:p>
      <w:pPr>
        <w:suppressAutoHyphens/>
        <w:spacing w:after="0" w:line="240" w:lineRule="auto"/>
        <w:jc w:val="right"/>
        <w:rPr>
          <w:rFonts w:eastAsia="Times New Roman" w:cs="Times New Roman"/>
          <w:color w:val="auto"/>
          <w:szCs w:val="24"/>
          <w:lang w:eastAsia="ar-SA"/>
        </w:rPr>
      </w:pPr>
      <w:r>
        <w:rPr>
          <w:rFonts w:eastAsia="Times New Roman" w:cs="Times New Roman"/>
          <w:color w:val="auto"/>
          <w:szCs w:val="24"/>
          <w:lang w:eastAsia="ar-SA"/>
        </w:rPr>
        <w:t>________________/</w:t>
      </w:r>
      <w:r>
        <w:rPr>
          <w:rFonts w:hint="default" w:eastAsia="Times New Roman" w:cs="Times New Roman"/>
          <w:color w:val="auto"/>
          <w:szCs w:val="24"/>
          <w:lang w:eastAsia="ar-SA"/>
        </w:rPr>
        <w:t>A.Līvmane</w:t>
      </w:r>
      <w:r>
        <w:rPr>
          <w:rFonts w:eastAsia="Times New Roman" w:cs="Times New Roman"/>
          <w:color w:val="auto"/>
          <w:szCs w:val="24"/>
          <w:lang w:eastAsia="ar-SA"/>
        </w:rPr>
        <w:t>/</w:t>
      </w:r>
    </w:p>
    <w:p>
      <w:pPr>
        <w:suppressAutoHyphens/>
        <w:spacing w:after="0" w:line="240" w:lineRule="auto"/>
        <w:jc w:val="both"/>
        <w:rPr>
          <w:rFonts w:eastAsia="Times New Roman" w:cs="Times New Roman"/>
          <w:color w:val="auto"/>
          <w:sz w:val="22"/>
          <w:lang w:eastAsia="ar-SA"/>
        </w:rPr>
      </w:pPr>
    </w:p>
    <w:p>
      <w:pPr>
        <w:suppressAutoHyphens/>
        <w:spacing w:after="0" w:line="240" w:lineRule="auto"/>
        <w:jc w:val="both"/>
        <w:rPr>
          <w:rFonts w:eastAsia="Times New Roman" w:cs="Times New Roman"/>
          <w:color w:val="auto"/>
          <w:sz w:val="22"/>
          <w:lang w:eastAsia="ar-SA"/>
        </w:rPr>
      </w:pPr>
    </w:p>
    <w:p>
      <w:pPr>
        <w:suppressAutoHyphens/>
        <w:spacing w:after="0" w:line="240" w:lineRule="auto"/>
        <w:jc w:val="both"/>
        <w:rPr>
          <w:rFonts w:eastAsia="Times New Roman" w:cs="Times New Roman"/>
          <w:b/>
          <w:bCs/>
          <w:color w:val="auto"/>
          <w:sz w:val="22"/>
          <w:lang w:eastAsia="ar-SA"/>
        </w:rPr>
      </w:pPr>
    </w:p>
    <w:p>
      <w:pPr>
        <w:keepNext/>
        <w:suppressAutoHyphens/>
        <w:spacing w:before="280" w:after="280" w:line="240" w:lineRule="auto"/>
        <w:jc w:val="both"/>
        <w:outlineLvl w:val="1"/>
        <w:rPr>
          <w:rFonts w:eastAsia="Times New Roman" w:cs="Times New Roman"/>
          <w:bCs/>
          <w:color w:val="auto"/>
          <w:sz w:val="28"/>
          <w:szCs w:val="28"/>
          <w:lang w:eastAsia="ar-SA"/>
        </w:rPr>
      </w:pPr>
    </w:p>
    <w:p>
      <w:pPr>
        <w:keepNext/>
        <w:suppressAutoHyphens/>
        <w:spacing w:before="280" w:after="280" w:line="240" w:lineRule="auto"/>
        <w:jc w:val="both"/>
        <w:outlineLvl w:val="1"/>
        <w:rPr>
          <w:rFonts w:eastAsia="Times New Roman" w:cs="Times New Roman"/>
          <w:color w:val="auto"/>
          <w:sz w:val="32"/>
          <w:szCs w:val="32"/>
          <w:lang w:eastAsia="ar-SA"/>
        </w:rPr>
      </w:pPr>
    </w:p>
    <w:p>
      <w:pPr>
        <w:suppressAutoHyphens/>
        <w:spacing w:after="0" w:line="240" w:lineRule="auto"/>
        <w:jc w:val="center"/>
        <w:rPr>
          <w:rFonts w:eastAsia="Times New Roman" w:cs="Times New Roman"/>
          <w:b/>
          <w:color w:val="auto"/>
          <w:sz w:val="36"/>
          <w:szCs w:val="36"/>
          <w:lang w:eastAsia="ar-SA"/>
        </w:rPr>
      </w:pPr>
      <w:r>
        <w:rPr>
          <w:rFonts w:eastAsia="Times New Roman" w:cs="Times New Roman"/>
          <w:b/>
          <w:color w:val="auto"/>
          <w:sz w:val="36"/>
          <w:szCs w:val="36"/>
          <w:lang w:eastAsia="ar-SA"/>
        </w:rPr>
        <w:t>IEPIRKUMA NOLIKUMS</w:t>
      </w:r>
    </w:p>
    <w:p>
      <w:pPr>
        <w:suppressAutoHyphens/>
        <w:spacing w:after="0" w:line="240" w:lineRule="auto"/>
        <w:jc w:val="both"/>
        <w:rPr>
          <w:rFonts w:eastAsia="Times New Roman" w:cs="Times New Roman"/>
          <w:b/>
          <w:color w:val="auto"/>
          <w:sz w:val="32"/>
          <w:szCs w:val="32"/>
          <w:lang w:eastAsia="ar-SA"/>
        </w:rPr>
      </w:pPr>
    </w:p>
    <w:p>
      <w:pPr>
        <w:suppressAutoHyphens/>
        <w:spacing w:after="0" w:line="240" w:lineRule="auto"/>
        <w:jc w:val="both"/>
        <w:rPr>
          <w:rFonts w:eastAsia="Times New Roman" w:cs="Times New Roman"/>
          <w:b/>
          <w:color w:val="auto"/>
          <w:sz w:val="32"/>
          <w:szCs w:val="32"/>
          <w:lang w:eastAsia="ar-SA"/>
        </w:rPr>
      </w:pPr>
    </w:p>
    <w:p>
      <w:pPr>
        <w:suppressAutoHyphens/>
        <w:spacing w:after="0" w:line="240" w:lineRule="auto"/>
        <w:ind w:left="525" w:hanging="525"/>
        <w:jc w:val="center"/>
        <w:rPr>
          <w:rFonts w:eastAsia="Times New Roman" w:cs="Times New Roman"/>
          <w:bCs/>
          <w:color w:val="auto"/>
          <w:sz w:val="28"/>
          <w:szCs w:val="32"/>
          <w:lang w:eastAsia="ar-SA"/>
        </w:rPr>
      </w:pPr>
      <w:r>
        <w:rPr>
          <w:rFonts w:eastAsia="Times New Roman" w:cs="Times New Roman"/>
          <w:bCs/>
          <w:color w:val="auto"/>
          <w:sz w:val="28"/>
          <w:szCs w:val="32"/>
          <w:lang w:eastAsia="ar-SA"/>
        </w:rPr>
        <w:t>Saskaņā ar Publisko iepirkumu likuma 9. pantu</w:t>
      </w:r>
    </w:p>
    <w:p>
      <w:pPr>
        <w:suppressAutoHyphens/>
        <w:spacing w:after="0" w:line="240" w:lineRule="auto"/>
        <w:ind w:left="525" w:hanging="525"/>
        <w:jc w:val="both"/>
        <w:rPr>
          <w:rFonts w:eastAsia="Times New Roman" w:cs="Times New Roman"/>
          <w:bCs/>
          <w:color w:val="auto"/>
          <w:sz w:val="36"/>
          <w:szCs w:val="32"/>
          <w:lang w:eastAsia="ar-SA"/>
        </w:rPr>
      </w:pPr>
    </w:p>
    <w:p>
      <w:pPr>
        <w:suppressAutoHyphens/>
        <w:spacing w:after="0" w:line="240" w:lineRule="auto"/>
        <w:ind w:left="525" w:hanging="525"/>
        <w:jc w:val="both"/>
        <w:rPr>
          <w:rFonts w:eastAsia="Times New Roman" w:cs="Times New Roman"/>
          <w:b/>
          <w:bCs/>
          <w:color w:val="auto"/>
          <w:sz w:val="32"/>
          <w:szCs w:val="32"/>
          <w:lang w:eastAsia="ar-SA"/>
        </w:rPr>
      </w:pPr>
    </w:p>
    <w:p>
      <w:pPr>
        <w:suppressAutoHyphens/>
        <w:spacing w:after="0" w:line="240" w:lineRule="auto"/>
        <w:ind w:left="525" w:hanging="525"/>
        <w:jc w:val="both"/>
        <w:rPr>
          <w:rFonts w:eastAsia="Times New Roman" w:cs="Times New Roman"/>
          <w:b/>
          <w:bCs/>
          <w:color w:val="auto"/>
          <w:sz w:val="36"/>
          <w:szCs w:val="28"/>
          <w:lang w:eastAsia="ar-SA"/>
        </w:rPr>
      </w:pPr>
    </w:p>
    <w:p>
      <w:pPr>
        <w:jc w:val="center"/>
        <w:rPr>
          <w:b/>
          <w:color w:val="auto"/>
          <w:sz w:val="32"/>
          <w:szCs w:val="32"/>
        </w:rPr>
      </w:pPr>
      <w:r>
        <w:rPr>
          <w:rFonts w:eastAsia="Calibri" w:cs="Calibri"/>
          <w:b/>
          <w:i/>
          <w:color w:val="auto"/>
          <w:sz w:val="40"/>
          <w:szCs w:val="36"/>
        </w:rPr>
        <w:t xml:space="preserve"> </w:t>
      </w:r>
      <w:r>
        <w:rPr>
          <w:rFonts w:eastAsia="Calibri" w:cs="Calibri"/>
          <w:b/>
          <w:i/>
          <w:color w:val="auto"/>
          <w:sz w:val="32"/>
          <w:szCs w:val="32"/>
        </w:rPr>
        <w:t>“</w:t>
      </w:r>
      <w:r>
        <w:rPr>
          <w:b/>
          <w:bCs/>
          <w:color w:val="auto"/>
          <w:sz w:val="32"/>
          <w:szCs w:val="32"/>
        </w:rPr>
        <w:t>Elektroapgādes sistēmu mērījumi SIA “DOBELES NAMSAIMNIEKS” apsaimniekojamos objektos</w:t>
      </w:r>
      <w:r>
        <w:rPr>
          <w:b/>
          <w:color w:val="auto"/>
          <w:sz w:val="32"/>
          <w:szCs w:val="32"/>
        </w:rPr>
        <w:t>”</w:t>
      </w:r>
    </w:p>
    <w:p>
      <w:pPr>
        <w:suppressAutoHyphens/>
        <w:spacing w:before="240" w:after="0" w:line="240" w:lineRule="auto"/>
        <w:ind w:left="527" w:hanging="527"/>
        <w:jc w:val="both"/>
        <w:rPr>
          <w:rFonts w:eastAsia="Times New Roman" w:cs="Times New Roman"/>
          <w:bCs/>
          <w:color w:val="auto"/>
          <w:sz w:val="28"/>
          <w:szCs w:val="28"/>
          <w:lang w:eastAsia="ar-SA"/>
        </w:rPr>
      </w:pPr>
    </w:p>
    <w:p>
      <w:pPr>
        <w:suppressAutoHyphens/>
        <w:spacing w:before="240" w:after="0" w:line="240" w:lineRule="auto"/>
        <w:ind w:left="527" w:hanging="527"/>
        <w:jc w:val="both"/>
        <w:rPr>
          <w:rFonts w:eastAsia="Times New Roman" w:cs="Times New Roman"/>
          <w:bCs/>
          <w:color w:val="auto"/>
          <w:sz w:val="28"/>
          <w:szCs w:val="28"/>
          <w:lang w:eastAsia="ar-SA"/>
        </w:rPr>
      </w:pPr>
    </w:p>
    <w:p>
      <w:pPr>
        <w:suppressAutoHyphens/>
        <w:spacing w:before="240" w:after="0" w:line="240" w:lineRule="auto"/>
        <w:ind w:left="527" w:hanging="527"/>
        <w:jc w:val="both"/>
        <w:rPr>
          <w:rFonts w:eastAsia="Times New Roman" w:cs="Times New Roman"/>
          <w:bCs/>
          <w:color w:val="auto"/>
          <w:sz w:val="28"/>
          <w:szCs w:val="28"/>
          <w:lang w:eastAsia="ar-SA"/>
        </w:rPr>
      </w:pPr>
    </w:p>
    <w:p>
      <w:pPr>
        <w:suppressAutoHyphens/>
        <w:spacing w:before="240" w:after="0" w:line="240" w:lineRule="auto"/>
        <w:ind w:left="527" w:hanging="527"/>
        <w:jc w:val="center"/>
        <w:rPr>
          <w:rFonts w:eastAsia="Times New Roman" w:cs="Times New Roman"/>
          <w:bCs/>
          <w:color w:val="auto"/>
          <w:sz w:val="28"/>
          <w:szCs w:val="28"/>
          <w:lang w:eastAsia="ar-SA"/>
        </w:rPr>
      </w:pPr>
      <w:r>
        <w:rPr>
          <w:rFonts w:eastAsia="Times New Roman" w:cs="Times New Roman"/>
          <w:bCs/>
          <w:color w:val="auto"/>
          <w:sz w:val="28"/>
          <w:szCs w:val="28"/>
          <w:lang w:eastAsia="ar-SA"/>
        </w:rPr>
        <w:t xml:space="preserve">Iepirkuma identifikācijas numurs: </w:t>
      </w:r>
      <w:bookmarkStart w:id="0" w:name="OLE_LINK7"/>
      <w:bookmarkStart w:id="1" w:name="OLE_LINK6"/>
      <w:r>
        <w:rPr>
          <w:rFonts w:eastAsia="Times New Roman" w:cs="Times New Roman"/>
          <w:bCs/>
          <w:color w:val="auto"/>
          <w:sz w:val="28"/>
          <w:szCs w:val="28"/>
          <w:lang w:eastAsia="ar-SA"/>
        </w:rPr>
        <w:t>SIA DN 20</w:t>
      </w:r>
      <w:r>
        <w:rPr>
          <w:rFonts w:hint="default" w:eastAsia="Times New Roman" w:cs="Times New Roman"/>
          <w:bCs/>
          <w:color w:val="auto"/>
          <w:sz w:val="28"/>
          <w:szCs w:val="28"/>
          <w:lang w:eastAsia="ar-SA"/>
        </w:rPr>
        <w:t>20</w:t>
      </w:r>
      <w:r>
        <w:rPr>
          <w:rFonts w:eastAsia="Times New Roman" w:cs="Times New Roman"/>
          <w:bCs/>
          <w:color w:val="auto"/>
          <w:sz w:val="28"/>
          <w:szCs w:val="28"/>
          <w:lang w:eastAsia="ar-SA"/>
        </w:rPr>
        <w:t>/</w:t>
      </w:r>
      <w:bookmarkEnd w:id="0"/>
      <w:bookmarkEnd w:id="1"/>
      <w:r>
        <w:rPr>
          <w:rFonts w:hint="default" w:eastAsia="Times New Roman" w:cs="Times New Roman"/>
          <w:bCs/>
          <w:color w:val="auto"/>
          <w:sz w:val="28"/>
          <w:szCs w:val="28"/>
          <w:lang w:eastAsia="ar-SA"/>
        </w:rPr>
        <w:t>12</w:t>
      </w:r>
    </w:p>
    <w:p>
      <w:pPr>
        <w:suppressAutoHyphens/>
        <w:spacing w:before="280" w:after="280" w:line="480" w:lineRule="auto"/>
        <w:jc w:val="both"/>
        <w:rPr>
          <w:rFonts w:eastAsia="Times New Roman" w:cs="Times New Roman"/>
          <w:color w:val="FF0000"/>
          <w:sz w:val="22"/>
          <w:lang w:eastAsia="ar-SA"/>
        </w:rPr>
      </w:pPr>
    </w:p>
    <w:p>
      <w:pPr>
        <w:suppressAutoHyphens/>
        <w:spacing w:before="280" w:after="280" w:line="480" w:lineRule="auto"/>
        <w:jc w:val="both"/>
        <w:rPr>
          <w:rFonts w:eastAsia="Times New Roman" w:cs="Times New Roman"/>
          <w:color w:val="FF0000"/>
          <w:sz w:val="22"/>
          <w:lang w:eastAsia="ar-SA"/>
        </w:rPr>
      </w:pPr>
    </w:p>
    <w:p>
      <w:pPr>
        <w:suppressAutoHyphens/>
        <w:spacing w:before="280" w:after="280" w:line="480" w:lineRule="auto"/>
        <w:jc w:val="both"/>
        <w:rPr>
          <w:rFonts w:eastAsia="Times New Roman" w:cs="Times New Roman"/>
          <w:color w:val="auto"/>
          <w:sz w:val="22"/>
          <w:lang w:eastAsia="ar-SA"/>
        </w:rPr>
      </w:pPr>
    </w:p>
    <w:p>
      <w:pPr>
        <w:suppressAutoHyphens/>
        <w:spacing w:after="0" w:line="480" w:lineRule="auto"/>
        <w:jc w:val="center"/>
        <w:rPr>
          <w:rFonts w:eastAsia="Times New Roman" w:cs="Times New Roman"/>
          <w:color w:val="auto"/>
          <w:sz w:val="22"/>
          <w:lang w:eastAsia="ar-SA"/>
        </w:rPr>
      </w:pPr>
      <w:r>
        <w:rPr>
          <w:rFonts w:eastAsia="Times New Roman" w:cs="Times New Roman"/>
          <w:color w:val="auto"/>
          <w:sz w:val="22"/>
          <w:lang w:eastAsia="ar-SA"/>
        </w:rPr>
        <w:t>Dobele, 20</w:t>
      </w:r>
      <w:r>
        <w:rPr>
          <w:rFonts w:hint="default" w:eastAsia="Times New Roman" w:cs="Times New Roman"/>
          <w:color w:val="auto"/>
          <w:sz w:val="22"/>
          <w:lang w:eastAsia="ar-SA"/>
        </w:rPr>
        <w:t>20</w:t>
      </w:r>
    </w:p>
    <w:p>
      <w:pPr>
        <w:suppressAutoHyphens/>
        <w:spacing w:after="0" w:line="480" w:lineRule="auto"/>
        <w:jc w:val="center"/>
        <w:rPr>
          <w:rFonts w:eastAsia="Times New Roman" w:cs="Times New Roman"/>
          <w:color w:val="FF0000"/>
          <w:sz w:val="22"/>
          <w:lang w:eastAsia="ar-SA"/>
        </w:rPr>
      </w:pPr>
    </w:p>
    <w:p>
      <w:pPr>
        <w:suppressAutoHyphens/>
        <w:spacing w:after="0" w:line="480" w:lineRule="auto"/>
        <w:jc w:val="center"/>
        <w:rPr>
          <w:rFonts w:eastAsia="Times New Roman" w:cs="Times New Roman"/>
          <w:color w:val="FF0000"/>
          <w:sz w:val="22"/>
          <w:lang w:eastAsia="ar-SA"/>
        </w:rPr>
      </w:pPr>
    </w:p>
    <w:p>
      <w:pPr>
        <w:numPr>
          <w:numId w:val="0"/>
        </w:numPr>
        <w:suppressAutoHyphens/>
        <w:spacing w:after="0" w:line="240" w:lineRule="auto"/>
        <w:ind w:leftChars="0"/>
        <w:contextualSpacing/>
        <w:jc w:val="center"/>
        <w:outlineLvl w:val="1"/>
        <w:rPr>
          <w:rFonts w:eastAsia="Times New Roman" w:cs="Times New Roman"/>
          <w:b/>
          <w:color w:val="auto"/>
          <w:szCs w:val="20"/>
          <w:lang w:val="en-US"/>
        </w:rPr>
      </w:pPr>
      <w:r>
        <w:rPr>
          <w:rFonts w:hint="default" w:eastAsia="Times New Roman" w:cs="Times New Roman"/>
          <w:b/>
          <w:color w:val="auto"/>
          <w:szCs w:val="20"/>
        </w:rPr>
        <w:t>1.</w:t>
      </w:r>
      <w:r>
        <w:rPr>
          <w:rFonts w:eastAsia="Times New Roman" w:cs="Times New Roman"/>
          <w:b/>
          <w:color w:val="auto"/>
          <w:szCs w:val="20"/>
          <w:lang w:val="en-US"/>
        </w:rPr>
        <w:t>Vispārīgā informācija</w:t>
      </w:r>
    </w:p>
    <w:p>
      <w:pPr>
        <w:numPr>
          <w:ilvl w:val="1"/>
          <w:numId w:val="2"/>
        </w:numPr>
        <w:suppressAutoHyphens/>
        <w:spacing w:after="0" w:line="240" w:lineRule="auto"/>
        <w:ind w:left="567" w:leftChars="0" w:hanging="567" w:firstLineChars="0"/>
        <w:contextualSpacing/>
        <w:jc w:val="both"/>
        <w:rPr>
          <w:rFonts w:eastAsia="Times New Roman" w:cs="Times New Roman"/>
          <w:color w:val="auto"/>
          <w:sz w:val="16"/>
          <w:szCs w:val="20"/>
          <w:lang w:val="en-US"/>
        </w:rPr>
      </w:pPr>
      <w:r>
        <w:rPr>
          <w:rFonts w:eastAsia="Times New Roman" w:cs="Times New Roman"/>
          <w:color w:val="auto"/>
          <w:szCs w:val="20"/>
        </w:rPr>
        <w:t>Iepirkuma identifikācijas numurs ir: SIA DN</w:t>
      </w:r>
      <w:r>
        <w:rPr>
          <w:rFonts w:eastAsia="Times New Roman" w:cs="Times New Roman"/>
          <w:bCs/>
          <w:color w:val="auto"/>
          <w:szCs w:val="40"/>
        </w:rPr>
        <w:t xml:space="preserve"> 20</w:t>
      </w:r>
      <w:r>
        <w:rPr>
          <w:rFonts w:hint="default" w:eastAsia="Times New Roman" w:cs="Times New Roman"/>
          <w:bCs/>
          <w:color w:val="auto"/>
          <w:szCs w:val="40"/>
        </w:rPr>
        <w:t>20</w:t>
      </w:r>
      <w:r>
        <w:rPr>
          <w:rFonts w:eastAsia="Times New Roman" w:cs="Times New Roman"/>
          <w:bCs/>
          <w:color w:val="auto"/>
          <w:szCs w:val="40"/>
        </w:rPr>
        <w:t>/</w:t>
      </w:r>
      <w:r>
        <w:rPr>
          <w:rFonts w:hint="default" w:eastAsia="Times New Roman" w:cs="Times New Roman"/>
          <w:bCs/>
          <w:color w:val="auto"/>
          <w:szCs w:val="40"/>
        </w:rPr>
        <w:t>12</w:t>
      </w:r>
      <w:r>
        <w:rPr>
          <w:rFonts w:eastAsia="Times New Roman" w:cs="Times New Roman"/>
          <w:bCs/>
          <w:color w:val="auto"/>
          <w:szCs w:val="40"/>
        </w:rPr>
        <w:t>.</w:t>
      </w:r>
    </w:p>
    <w:p>
      <w:pPr>
        <w:numPr>
          <w:ilvl w:val="1"/>
          <w:numId w:val="2"/>
        </w:numPr>
        <w:suppressAutoHyphens/>
        <w:spacing w:after="0" w:line="240" w:lineRule="auto"/>
        <w:ind w:left="567" w:leftChars="0" w:hanging="567" w:firstLineChars="0"/>
        <w:contextualSpacing/>
        <w:jc w:val="both"/>
        <w:rPr>
          <w:rFonts w:eastAsia="Times New Roman" w:cs="Times New Roman"/>
          <w:color w:val="auto"/>
          <w:szCs w:val="20"/>
          <w:lang w:val="en-US"/>
        </w:rPr>
      </w:pPr>
      <w:r>
        <w:rPr>
          <w:rFonts w:eastAsia="Times New Roman" w:cs="Times New Roman"/>
          <w:color w:val="auto"/>
          <w:szCs w:val="20"/>
        </w:rPr>
        <w:t>Pasūtītājs ir SIA „DOBELES NAMSAIMNIEKS”.</w:t>
      </w:r>
    </w:p>
    <w:p>
      <w:pPr>
        <w:numPr>
          <w:ilvl w:val="1"/>
          <w:numId w:val="2"/>
        </w:numPr>
        <w:suppressAutoHyphens/>
        <w:spacing w:after="0" w:line="240" w:lineRule="auto"/>
        <w:ind w:left="567" w:leftChars="0" w:hanging="567" w:firstLineChars="0"/>
        <w:contextualSpacing/>
        <w:jc w:val="both"/>
        <w:rPr>
          <w:rFonts w:eastAsia="Times New Roman" w:cs="Times New Roman"/>
          <w:iCs/>
          <w:color w:val="auto"/>
          <w:szCs w:val="20"/>
        </w:rPr>
      </w:pPr>
      <w:r>
        <w:rPr>
          <w:rFonts w:eastAsia="Times New Roman" w:cs="Times New Roman"/>
          <w:color w:val="auto"/>
          <w:szCs w:val="20"/>
        </w:rPr>
        <w:t>Iepirkuma kontaktpersonas:</w:t>
      </w:r>
      <w:r>
        <w:rPr>
          <w:rFonts w:eastAsia="Times New Roman" w:cs="Times New Roman"/>
          <w:iCs/>
          <w:color w:val="auto"/>
          <w:szCs w:val="20"/>
        </w:rPr>
        <w:t xml:space="preserve"> par </w:t>
      </w:r>
      <w:r>
        <w:rPr>
          <w:rFonts w:eastAsia="Times New Roman" w:cs="Times New Roman"/>
          <w:color w:val="auto"/>
          <w:szCs w:val="20"/>
        </w:rPr>
        <w:t xml:space="preserve">iepirkuma priekšmetu: SIA „DOBELES NAMSAIMNIEKS” </w:t>
      </w:r>
      <w:r>
        <w:rPr>
          <w:rFonts w:eastAsia="Lucida Sans Unicode" w:cs="Times New Roman"/>
          <w:bCs/>
          <w:color w:val="auto"/>
          <w:kern w:val="1"/>
          <w:szCs w:val="20"/>
          <w:lang w:val="en-US"/>
        </w:rPr>
        <w:t>namu pārzin</w:t>
      </w:r>
      <w:r>
        <w:rPr>
          <w:rFonts w:hint="default" w:eastAsia="Lucida Sans Unicode" w:cs="Times New Roman"/>
          <w:bCs/>
          <w:color w:val="auto"/>
          <w:kern w:val="1"/>
          <w:szCs w:val="20"/>
        </w:rPr>
        <w:t>is</w:t>
      </w:r>
      <w:r>
        <w:rPr>
          <w:rFonts w:eastAsia="Lucida Sans Unicode" w:cs="Times New Roman"/>
          <w:bCs/>
          <w:color w:val="auto"/>
          <w:kern w:val="1"/>
          <w:szCs w:val="20"/>
          <w:lang w:val="en-US"/>
        </w:rPr>
        <w:t xml:space="preserve"> </w:t>
      </w:r>
      <w:r>
        <w:rPr>
          <w:rFonts w:hint="default" w:eastAsia="Lucida Sans Unicode" w:cs="Times New Roman"/>
          <w:bCs/>
          <w:color w:val="auto"/>
          <w:kern w:val="1"/>
          <w:szCs w:val="20"/>
        </w:rPr>
        <w:t>Edgars Kvēps</w:t>
      </w:r>
      <w:r>
        <w:rPr>
          <w:rFonts w:eastAsia="Lucida Sans Unicode" w:cs="Times New Roman"/>
          <w:bCs/>
          <w:color w:val="auto"/>
          <w:kern w:val="1"/>
          <w:szCs w:val="20"/>
          <w:lang w:val="en-US"/>
        </w:rPr>
        <w:t xml:space="preserve">, mobilais telefons </w:t>
      </w:r>
      <w:r>
        <w:rPr>
          <w:rFonts w:hint="default" w:eastAsia="Lucida Sans Unicode" w:cs="Times New Roman"/>
          <w:bCs/>
          <w:color w:val="auto"/>
          <w:kern w:val="1"/>
          <w:szCs w:val="20"/>
        </w:rPr>
        <w:t>26964607</w:t>
      </w:r>
      <w:r>
        <w:rPr>
          <w:rFonts w:eastAsia="Lucida Sans Unicode" w:cs="Times New Roman"/>
          <w:bCs/>
          <w:color w:val="auto"/>
          <w:kern w:val="1"/>
          <w:szCs w:val="20"/>
          <w:lang w:val="en-US"/>
        </w:rPr>
        <w:t xml:space="preserve">, e-pasts: </w:t>
      </w:r>
      <w:r>
        <w:rPr>
          <w:color w:val="auto"/>
        </w:rPr>
        <w:fldChar w:fldCharType="begin"/>
      </w:r>
      <w:r>
        <w:rPr>
          <w:color w:val="auto"/>
        </w:rPr>
        <w:instrText xml:space="preserve">HYPERLINK "mailto:namuparzinis@dobelesnamsaimnieks.lv" </w:instrText>
      </w:r>
      <w:r>
        <w:rPr>
          <w:color w:val="auto"/>
        </w:rPr>
        <w:fldChar w:fldCharType="separate"/>
      </w:r>
      <w:r>
        <w:rPr>
          <w:rStyle w:val="7"/>
          <w:rFonts w:eastAsia="Calibri" w:cs="Times New Roman"/>
          <w:color w:val="auto"/>
          <w:kern w:val="1"/>
          <w:szCs w:val="20"/>
          <w:lang w:val="en-US" w:bidi="en-US"/>
        </w:rPr>
        <w:t>namuparzinis@dobelesnamsaimnieks.lv</w:t>
      </w:r>
      <w:r>
        <w:rPr>
          <w:color w:val="auto"/>
        </w:rPr>
        <w:fldChar w:fldCharType="end"/>
      </w:r>
      <w:r>
        <w:rPr>
          <w:rFonts w:eastAsia="Lucida Sans Unicode" w:cs="Times New Roman"/>
          <w:color w:val="auto"/>
          <w:kern w:val="1"/>
          <w:szCs w:val="20"/>
          <w:lang w:val="en-US"/>
        </w:rPr>
        <w:t>,</w:t>
      </w:r>
      <w:r>
        <w:rPr>
          <w:rFonts w:hint="default" w:eastAsia="Lucida Sans Unicode" w:cs="Times New Roman"/>
          <w:color w:val="auto"/>
          <w:kern w:val="1"/>
          <w:szCs w:val="20"/>
        </w:rPr>
        <w:t xml:space="preserve"> </w:t>
      </w:r>
      <w:r>
        <w:rPr>
          <w:rFonts w:hint="default" w:ascii="Times New Roman" w:hAnsi="Times New Roman" w:cs="Times New Roman"/>
          <w:bCs/>
          <w:color w:val="auto"/>
          <w:sz w:val="24"/>
          <w:szCs w:val="24"/>
          <w:lang w:eastAsia="ar-SA"/>
        </w:rPr>
        <w:t xml:space="preserve">Tehniskā daļas vadītājs Jānis Kreicbergs, mobilais telefons 28347204, e-pasts: </w:t>
      </w:r>
      <w:r>
        <w:rPr>
          <w:rFonts w:hint="default" w:ascii="Times New Roman" w:hAnsi="Times New Roman" w:cs="Times New Roman"/>
          <w:i w:val="0"/>
          <w:iCs w:val="0"/>
          <w:color w:val="auto"/>
          <w:sz w:val="24"/>
          <w:szCs w:val="24"/>
        </w:rPr>
        <w:fldChar w:fldCharType="begin"/>
      </w:r>
      <w:r>
        <w:rPr>
          <w:rFonts w:hint="default" w:ascii="Times New Roman" w:hAnsi="Times New Roman" w:cs="Times New Roman"/>
          <w:i w:val="0"/>
          <w:iCs w:val="0"/>
          <w:color w:val="auto"/>
          <w:sz w:val="24"/>
          <w:szCs w:val="24"/>
        </w:rPr>
        <w:instrText xml:space="preserve">HYPERLINK "mailto:raimonds.malinovskis@dobelesnamsaimnieks.lv" </w:instrText>
      </w:r>
      <w:r>
        <w:rPr>
          <w:rFonts w:hint="default" w:ascii="Times New Roman" w:hAnsi="Times New Roman" w:cs="Times New Roman"/>
          <w:i w:val="0"/>
          <w:iCs w:val="0"/>
          <w:color w:val="auto"/>
          <w:sz w:val="24"/>
          <w:szCs w:val="24"/>
        </w:rPr>
        <w:fldChar w:fldCharType="separate"/>
      </w:r>
      <w:r>
        <w:rPr>
          <w:rStyle w:val="7"/>
          <w:rFonts w:hint="default" w:ascii="Times New Roman" w:hAnsi="Times New Roman" w:cs="Times New Roman"/>
          <w:bCs/>
          <w:i w:val="0"/>
          <w:iCs w:val="0"/>
          <w:color w:val="auto"/>
          <w:sz w:val="24"/>
          <w:szCs w:val="24"/>
          <w:lang w:eastAsia="ar-SA"/>
        </w:rPr>
        <w:t>janis.kreicbergs@dobelesnamsaimnieks.lv</w:t>
      </w:r>
      <w:r>
        <w:rPr>
          <w:rFonts w:hint="default" w:ascii="Times New Roman" w:hAnsi="Times New Roman" w:cs="Times New Roman"/>
          <w:i w:val="0"/>
          <w:iCs w:val="0"/>
          <w:color w:val="auto"/>
          <w:sz w:val="24"/>
          <w:szCs w:val="24"/>
        </w:rPr>
        <w:fldChar w:fldCharType="end"/>
      </w:r>
      <w:r>
        <w:rPr>
          <w:rFonts w:hint="default" w:cs="Times New Roman"/>
          <w:i w:val="0"/>
          <w:iCs w:val="0"/>
          <w:color w:val="auto"/>
          <w:sz w:val="24"/>
          <w:szCs w:val="24"/>
        </w:rPr>
        <w:t xml:space="preserve">, </w:t>
      </w:r>
      <w:r>
        <w:rPr>
          <w:rFonts w:eastAsia="Lucida Sans Unicode" w:cs="Times New Roman"/>
          <w:color w:val="auto"/>
          <w:kern w:val="1"/>
          <w:szCs w:val="20"/>
          <w:lang w:val="en-US"/>
        </w:rPr>
        <w:t>p</w:t>
      </w:r>
      <w:r>
        <w:rPr>
          <w:rFonts w:eastAsia="Times New Roman" w:cs="Times New Roman"/>
          <w:color w:val="auto"/>
          <w:szCs w:val="20"/>
        </w:rPr>
        <w:t>ar iepirkuma procedūru: jurist</w:t>
      </w:r>
      <w:r>
        <w:rPr>
          <w:rFonts w:hint="default" w:eastAsia="Times New Roman" w:cs="Times New Roman"/>
          <w:color w:val="auto"/>
          <w:szCs w:val="20"/>
        </w:rPr>
        <w:t>a palīgs Līga Kricka</w:t>
      </w:r>
      <w:r>
        <w:rPr>
          <w:rFonts w:eastAsia="Times New Roman" w:cs="Times New Roman"/>
          <w:color w:val="auto"/>
          <w:szCs w:val="20"/>
        </w:rPr>
        <w:t xml:space="preserve">, tālrunis 63707294, e-pasts: </w:t>
      </w:r>
      <w:r>
        <w:rPr>
          <w:rFonts w:hint="default" w:eastAsia="Times New Roman" w:cs="Times New Roman"/>
          <w:color w:val="auto"/>
          <w:szCs w:val="20"/>
        </w:rPr>
        <w:t>juristapaligs</w:t>
      </w:r>
      <w:r>
        <w:rPr>
          <w:rFonts w:eastAsia="Times New Roman" w:cs="Times New Roman"/>
          <w:color w:val="auto"/>
          <w:szCs w:val="20"/>
        </w:rPr>
        <w:t>@dobelesnamsaimnieks.lv.</w:t>
      </w:r>
    </w:p>
    <w:p>
      <w:pPr>
        <w:numPr>
          <w:ilvl w:val="1"/>
          <w:numId w:val="2"/>
        </w:numPr>
        <w:suppressAutoHyphens/>
        <w:spacing w:after="0" w:line="240" w:lineRule="auto"/>
        <w:ind w:left="567" w:leftChars="0" w:hanging="567" w:firstLineChars="0"/>
        <w:contextualSpacing/>
        <w:jc w:val="both"/>
        <w:rPr>
          <w:rFonts w:eastAsia="Times New Roman" w:cs="Times New Roman"/>
          <w:color w:val="auto"/>
          <w:szCs w:val="20"/>
        </w:rPr>
      </w:pPr>
      <w:r>
        <w:rPr>
          <w:rFonts w:eastAsia="Times New Roman" w:cs="Times New Roman"/>
          <w:color w:val="auto"/>
          <w:szCs w:val="20"/>
        </w:rPr>
        <w:t xml:space="preserve">Iepirkuma </w:t>
      </w:r>
      <w:r>
        <w:rPr>
          <w:rFonts w:eastAsia="Times New Roman" w:cs="Times New Roman"/>
          <w:b/>
          <w:color w:val="auto"/>
          <w:szCs w:val="20"/>
        </w:rPr>
        <w:t>CPV</w:t>
      </w:r>
      <w:r>
        <w:rPr>
          <w:rFonts w:eastAsia="Times New Roman" w:cs="Times New Roman"/>
          <w:color w:val="auto"/>
          <w:szCs w:val="20"/>
        </w:rPr>
        <w:t xml:space="preserve"> kods: </w:t>
      </w:r>
      <w:r>
        <w:rPr>
          <w:b/>
          <w:bCs/>
          <w:color w:val="auto"/>
        </w:rPr>
        <w:t>50710000-5</w:t>
      </w:r>
      <w:r>
        <w:rPr>
          <w:rFonts w:eastAsia="Times New Roman" w:cs="Times New Roman"/>
          <w:b/>
          <w:color w:val="auto"/>
          <w:szCs w:val="20"/>
        </w:rPr>
        <w:t>.</w:t>
      </w:r>
    </w:p>
    <w:p>
      <w:pPr>
        <w:numPr>
          <w:ilvl w:val="1"/>
          <w:numId w:val="2"/>
        </w:numPr>
        <w:suppressAutoHyphens/>
        <w:spacing w:after="0" w:line="240" w:lineRule="auto"/>
        <w:ind w:left="567" w:leftChars="0" w:hanging="567" w:firstLineChars="0"/>
        <w:contextualSpacing/>
        <w:jc w:val="both"/>
        <w:rPr>
          <w:rFonts w:eastAsia="Times New Roman" w:cs="Times New Roman"/>
          <w:bCs/>
          <w:color w:val="auto"/>
          <w:szCs w:val="20"/>
        </w:rPr>
      </w:pPr>
      <w:r>
        <w:rPr>
          <w:rFonts w:eastAsia="Times New Roman" w:cs="Times New Roman"/>
          <w:bCs/>
          <w:color w:val="auto"/>
          <w:szCs w:val="20"/>
        </w:rPr>
        <w:t>Iepirkuma procedūrā var piedalīties Publisko iepirkumu likumā, kā piegādātāji, definētās personas, kas saskaņā ar normatīvajiem aktiem ir tiesīgas veikt komercdarbību/saimniecisko darbību un, kas atbilst nolikumā noteiktajām prasībām, kam ir pieejami visi darbu izpildei nepieciešamie resursi, kas spēj nodrošināt Līguma darbu izpildi.</w:t>
      </w:r>
    </w:p>
    <w:p>
      <w:pPr>
        <w:spacing w:after="0" w:line="240" w:lineRule="auto"/>
        <w:contextualSpacing/>
        <w:jc w:val="both"/>
        <w:rPr>
          <w:rFonts w:eastAsia="Times New Roman" w:cs="Times New Roman"/>
          <w:color w:val="auto"/>
          <w:szCs w:val="24"/>
        </w:rPr>
      </w:pPr>
    </w:p>
    <w:p>
      <w:pPr>
        <w:numPr>
          <w:numId w:val="0"/>
        </w:numPr>
        <w:suppressAutoHyphens/>
        <w:spacing w:after="0" w:line="240" w:lineRule="auto"/>
        <w:ind w:leftChars="0"/>
        <w:contextualSpacing/>
        <w:jc w:val="center"/>
        <w:outlineLvl w:val="1"/>
        <w:rPr>
          <w:rFonts w:eastAsia="Times New Roman" w:cs="Times New Roman"/>
          <w:b/>
          <w:color w:val="auto"/>
          <w:szCs w:val="20"/>
        </w:rPr>
      </w:pPr>
      <w:bookmarkStart w:id="2" w:name="_Toc324317550"/>
      <w:r>
        <w:rPr>
          <w:rFonts w:hint="default" w:eastAsia="Times New Roman" w:cs="Times New Roman"/>
          <w:b/>
          <w:color w:val="auto"/>
          <w:szCs w:val="20"/>
        </w:rPr>
        <w:t>2.</w:t>
      </w:r>
      <w:r>
        <w:rPr>
          <w:rFonts w:eastAsia="Times New Roman" w:cs="Times New Roman"/>
          <w:b/>
          <w:color w:val="auto"/>
          <w:szCs w:val="20"/>
        </w:rPr>
        <w:t>Iepirkuma priekšmets, darba izpildes vieta un laiks</w:t>
      </w:r>
      <w:bookmarkEnd w:id="2"/>
    </w:p>
    <w:p>
      <w:pPr>
        <w:numPr>
          <w:ilvl w:val="0"/>
          <w:numId w:val="3"/>
        </w:numPr>
        <w:suppressAutoHyphens/>
        <w:spacing w:after="0" w:line="240" w:lineRule="auto"/>
        <w:ind w:left="425" w:leftChars="0" w:hanging="425" w:firstLineChars="0"/>
        <w:contextualSpacing/>
        <w:jc w:val="both"/>
        <w:rPr>
          <w:rFonts w:eastAsia="Times New Roman" w:cs="Times New Roman"/>
          <w:b/>
          <w:color w:val="auto"/>
          <w:szCs w:val="20"/>
        </w:rPr>
      </w:pPr>
      <w:r>
        <w:rPr>
          <w:rFonts w:eastAsia="Times New Roman" w:cs="Times New Roman"/>
          <w:color w:val="auto"/>
          <w:szCs w:val="20"/>
        </w:rPr>
        <w:t xml:space="preserve"> Iepi</w:t>
      </w:r>
      <w:r>
        <w:rPr>
          <w:rFonts w:eastAsia="Times New Roman" w:cs="Times New Roman"/>
          <w:color w:val="auto"/>
          <w:sz w:val="24"/>
          <w:szCs w:val="24"/>
        </w:rPr>
        <w:t>rkuma priekšmets ir</w:t>
      </w:r>
      <w:r>
        <w:rPr>
          <w:rFonts w:hint="default" w:eastAsia="Times New Roman" w:cs="Times New Roman"/>
          <w:color w:val="auto"/>
          <w:sz w:val="24"/>
          <w:szCs w:val="24"/>
        </w:rPr>
        <w:t xml:space="preserve"> </w:t>
      </w:r>
      <w:r>
        <w:rPr>
          <w:b w:val="0"/>
          <w:bCs w:val="0"/>
          <w:color w:val="auto"/>
          <w:sz w:val="24"/>
          <w:szCs w:val="24"/>
        </w:rPr>
        <w:t>Elektroapgādes sistēmu mērījumi SIA “DOBELES NAMSAIMNIEKS” apsaimniekojamos objektos</w:t>
      </w:r>
      <w:r>
        <w:rPr>
          <w:rFonts w:eastAsia="Times New Roman" w:cs="Times New Roman"/>
          <w:color w:val="auto"/>
          <w:sz w:val="24"/>
          <w:szCs w:val="24"/>
        </w:rPr>
        <w:t xml:space="preserve"> </w:t>
      </w:r>
      <w:r>
        <w:rPr>
          <w:rFonts w:hint="default" w:eastAsia="Times New Roman" w:cs="Times New Roman"/>
          <w:color w:val="auto"/>
          <w:sz w:val="24"/>
          <w:szCs w:val="24"/>
        </w:rPr>
        <w:t xml:space="preserve">saskaņā ar tehnisko psecifikāciju (Pielikums Nr.5) </w:t>
      </w:r>
      <w:r>
        <w:rPr>
          <w:rFonts w:eastAsia="Times New Roman" w:cs="Times New Roman"/>
          <w:color w:val="auto"/>
          <w:szCs w:val="20"/>
        </w:rPr>
        <w:t xml:space="preserve">par piedāvāto </w:t>
      </w:r>
      <w:r>
        <w:rPr>
          <w:rFonts w:eastAsia="Times New Roman" w:cs="Times New Roman"/>
          <w:color w:val="auto"/>
          <w:szCs w:val="20"/>
          <w:u w:val="single"/>
        </w:rPr>
        <w:t>zemāko cenu</w:t>
      </w:r>
      <w:r>
        <w:rPr>
          <w:rFonts w:eastAsia="Times New Roman" w:cs="Times New Roman"/>
          <w:color w:val="auto"/>
          <w:szCs w:val="20"/>
        </w:rPr>
        <w:t>.</w:t>
      </w:r>
    </w:p>
    <w:p>
      <w:pPr>
        <w:numPr>
          <w:ilvl w:val="0"/>
          <w:numId w:val="3"/>
        </w:numPr>
        <w:suppressAutoHyphens/>
        <w:spacing w:after="0" w:line="240" w:lineRule="auto"/>
        <w:ind w:left="425" w:leftChars="0" w:hanging="425" w:firstLineChars="0"/>
        <w:contextualSpacing/>
        <w:jc w:val="both"/>
        <w:rPr>
          <w:rFonts w:eastAsia="Times New Roman" w:cs="Times New Roman"/>
          <w:b/>
          <w:color w:val="auto"/>
          <w:szCs w:val="20"/>
        </w:rPr>
      </w:pPr>
      <w:r>
        <w:rPr>
          <w:rFonts w:eastAsia="Times New Roman" w:cs="Times New Roman"/>
          <w:color w:val="auto"/>
          <w:szCs w:val="20"/>
        </w:rPr>
        <w:t xml:space="preserve"> Iepirkums nav sadalīts daļās. Piedāvājums ir jāiesniedz par visu līguma priekšmetu.</w:t>
      </w:r>
    </w:p>
    <w:p>
      <w:pPr>
        <w:numPr>
          <w:ilvl w:val="0"/>
          <w:numId w:val="3"/>
        </w:numPr>
        <w:suppressAutoHyphens/>
        <w:spacing w:after="0" w:line="240" w:lineRule="auto"/>
        <w:ind w:left="425" w:leftChars="0" w:hanging="425" w:firstLineChars="0"/>
        <w:contextualSpacing/>
        <w:jc w:val="both"/>
        <w:rPr>
          <w:rFonts w:eastAsia="Times New Roman" w:cs="Times New Roman"/>
          <w:b/>
          <w:color w:val="auto"/>
          <w:szCs w:val="20"/>
        </w:rPr>
      </w:pPr>
      <w:r>
        <w:rPr>
          <w:rFonts w:eastAsia="Times New Roman" w:cs="Times New Roman"/>
          <w:color w:val="auto"/>
          <w:szCs w:val="20"/>
        </w:rPr>
        <w:t xml:space="preserve"> Līguma izpildes vieta: Zaļā iela 3, Dobele, Dobeles novads. Līguma izpildes termiņš: 20</w:t>
      </w:r>
      <w:r>
        <w:rPr>
          <w:rFonts w:hint="default" w:eastAsia="Times New Roman" w:cs="Times New Roman"/>
          <w:color w:val="auto"/>
          <w:szCs w:val="20"/>
        </w:rPr>
        <w:t>20</w:t>
      </w:r>
      <w:r>
        <w:rPr>
          <w:rFonts w:eastAsia="Times New Roman" w:cs="Times New Roman"/>
          <w:color w:val="auto"/>
          <w:szCs w:val="20"/>
        </w:rPr>
        <w:t xml:space="preserve">.gada </w:t>
      </w:r>
      <w:r>
        <w:rPr>
          <w:rFonts w:hint="default" w:eastAsia="Times New Roman" w:cs="Times New Roman"/>
          <w:color w:val="auto"/>
          <w:szCs w:val="20"/>
        </w:rPr>
        <w:t>30</w:t>
      </w:r>
      <w:r>
        <w:rPr>
          <w:rFonts w:eastAsia="Times New Roman" w:cs="Times New Roman"/>
          <w:color w:val="auto"/>
          <w:szCs w:val="20"/>
        </w:rPr>
        <w:t>.</w:t>
      </w:r>
      <w:r>
        <w:rPr>
          <w:rFonts w:hint="default" w:eastAsia="Times New Roman" w:cs="Times New Roman"/>
          <w:color w:val="auto"/>
          <w:szCs w:val="20"/>
        </w:rPr>
        <w:t>novembris</w:t>
      </w:r>
      <w:r>
        <w:rPr>
          <w:rFonts w:eastAsia="Times New Roman" w:cs="Times New Roman"/>
          <w:color w:val="auto"/>
          <w:szCs w:val="20"/>
        </w:rPr>
        <w:t>.</w:t>
      </w:r>
    </w:p>
    <w:p>
      <w:pPr>
        <w:numPr>
          <w:ilvl w:val="0"/>
          <w:numId w:val="3"/>
        </w:numPr>
        <w:suppressAutoHyphens/>
        <w:spacing w:after="0" w:line="240" w:lineRule="auto"/>
        <w:ind w:left="425" w:leftChars="0" w:hanging="425" w:firstLineChars="0"/>
        <w:contextualSpacing/>
        <w:jc w:val="both"/>
        <w:rPr>
          <w:rFonts w:eastAsia="Times New Roman" w:cs="Times New Roman"/>
          <w:b/>
          <w:color w:val="auto"/>
          <w:szCs w:val="20"/>
        </w:rPr>
      </w:pPr>
      <w:r>
        <w:rPr>
          <w:rFonts w:eastAsia="Times New Roman" w:cs="Times New Roman"/>
          <w:color w:val="auto"/>
        </w:rPr>
        <w:t>Pasūtītājs līgumu slēdz ar Pretendentu, par kura piedāvājumu iepirkuma komisija būs pieņēmusi lēmumu par līguma slēgšanas tiesību piešķiršanu.</w:t>
      </w:r>
    </w:p>
    <w:p>
      <w:pPr>
        <w:numPr>
          <w:ilvl w:val="0"/>
          <w:numId w:val="3"/>
        </w:numPr>
        <w:suppressAutoHyphens/>
        <w:spacing w:after="0" w:line="240" w:lineRule="auto"/>
        <w:ind w:left="425" w:leftChars="0" w:hanging="425" w:firstLineChars="0"/>
        <w:contextualSpacing/>
        <w:jc w:val="both"/>
        <w:rPr>
          <w:rFonts w:eastAsia="Times New Roman" w:cs="Times New Roman"/>
          <w:b/>
          <w:color w:val="auto"/>
          <w:szCs w:val="20"/>
        </w:rPr>
      </w:pPr>
      <w:r>
        <w:rPr>
          <w:rFonts w:eastAsia="Times New Roman" w:cs="Times New Roman"/>
          <w:color w:val="auto"/>
        </w:rPr>
        <w:t>Iepirkuma līgumu slēdz saskaņā ar nolikuma pielikumu Nr.</w:t>
      </w:r>
      <w:r>
        <w:rPr>
          <w:rFonts w:hint="default" w:eastAsia="Times New Roman" w:cs="Times New Roman"/>
          <w:color w:val="auto"/>
        </w:rPr>
        <w:t>6</w:t>
      </w:r>
      <w:r>
        <w:rPr>
          <w:rFonts w:eastAsia="Times New Roman" w:cs="Times New Roman"/>
          <w:color w:val="auto"/>
        </w:rPr>
        <w:t xml:space="preserve"> “Līguma projekts”. Līgumam pievieno izraudzītā pretendenta piedāvājumu. Iepirkuma nolikuma noteikumi kopā ar tā pieteikumiem ir spēkā un ir saistoši visā līguma izpildes laikā.</w:t>
      </w:r>
    </w:p>
    <w:p>
      <w:pPr>
        <w:numPr>
          <w:ilvl w:val="0"/>
          <w:numId w:val="3"/>
        </w:numPr>
        <w:suppressAutoHyphens/>
        <w:spacing w:after="0" w:line="240" w:lineRule="auto"/>
        <w:ind w:left="425" w:leftChars="0" w:hanging="425" w:firstLineChars="0"/>
        <w:contextualSpacing/>
        <w:jc w:val="both"/>
        <w:rPr>
          <w:rFonts w:eastAsia="Times New Roman" w:cs="Times New Roman"/>
          <w:b/>
          <w:color w:val="auto"/>
          <w:szCs w:val="20"/>
        </w:rPr>
      </w:pPr>
      <w:r>
        <w:rPr>
          <w:rFonts w:eastAsia="Times New Roman" w:cs="Times New Roman"/>
          <w:color w:val="auto"/>
        </w:rPr>
        <w:t>Pasūtītājs nodrošina tās informācijas neizpaušanu, ko Pretendents piedāvājumā ir norādījis kā komercnoslēpumu vai konfidenciālu informāciju.</w:t>
      </w:r>
    </w:p>
    <w:p>
      <w:pPr>
        <w:spacing w:after="0" w:line="240" w:lineRule="auto"/>
        <w:contextualSpacing/>
        <w:jc w:val="both"/>
        <w:rPr>
          <w:rFonts w:eastAsia="Times New Roman" w:cs="Times New Roman"/>
          <w:color w:val="FF0000"/>
          <w:szCs w:val="24"/>
        </w:rPr>
      </w:pPr>
    </w:p>
    <w:p>
      <w:pPr>
        <w:numPr>
          <w:numId w:val="0"/>
        </w:numPr>
        <w:suppressAutoHyphens/>
        <w:spacing w:after="0" w:line="240" w:lineRule="auto"/>
        <w:ind w:leftChars="0"/>
        <w:contextualSpacing/>
        <w:jc w:val="center"/>
        <w:outlineLvl w:val="1"/>
        <w:rPr>
          <w:rFonts w:eastAsia="Times New Roman" w:cs="Times New Roman"/>
          <w:b/>
          <w:color w:val="auto"/>
          <w:szCs w:val="20"/>
        </w:rPr>
      </w:pPr>
      <w:bookmarkStart w:id="3" w:name="_Toc324317551"/>
      <w:bookmarkStart w:id="4" w:name="_Toc233878092"/>
      <w:bookmarkStart w:id="5" w:name="_Toc233878119"/>
      <w:bookmarkStart w:id="6" w:name="_Toc233878237"/>
      <w:bookmarkStart w:id="7" w:name="_Toc233878274"/>
      <w:bookmarkStart w:id="8" w:name="_Toc245179481"/>
      <w:r>
        <w:rPr>
          <w:rFonts w:hint="default" w:eastAsia="Times New Roman" w:cs="Times New Roman"/>
          <w:b/>
          <w:color w:val="auto"/>
          <w:szCs w:val="20"/>
        </w:rPr>
        <w:t xml:space="preserve">3. </w:t>
      </w:r>
      <w:r>
        <w:rPr>
          <w:rFonts w:eastAsia="Times New Roman" w:cs="Times New Roman"/>
          <w:b/>
          <w:color w:val="auto"/>
          <w:szCs w:val="20"/>
        </w:rPr>
        <w:t>Piedāvājuma iesniegšana un atvēršanas kārtība</w:t>
      </w:r>
      <w:bookmarkEnd w:id="3"/>
      <w:bookmarkEnd w:id="4"/>
      <w:bookmarkEnd w:id="5"/>
      <w:bookmarkEnd w:id="6"/>
      <w:bookmarkEnd w:id="7"/>
      <w:bookmarkEnd w:id="8"/>
    </w:p>
    <w:p>
      <w:pPr>
        <w:numPr>
          <w:ilvl w:val="0"/>
          <w:numId w:val="4"/>
        </w:numPr>
        <w:suppressAutoHyphens/>
        <w:spacing w:after="0" w:line="240" w:lineRule="auto"/>
        <w:ind w:left="425" w:leftChars="0" w:hanging="425" w:firstLineChars="0"/>
        <w:contextualSpacing/>
        <w:jc w:val="both"/>
        <w:rPr>
          <w:rFonts w:eastAsia="Times New Roman" w:cs="Times New Roman"/>
          <w:b/>
          <w:color w:val="auto"/>
          <w:szCs w:val="20"/>
        </w:rPr>
      </w:pPr>
      <w:bookmarkStart w:id="9" w:name="_Hlk17818512"/>
      <w:r>
        <w:rPr>
          <w:rFonts w:eastAsia="Times New Roman" w:cs="Times New Roman"/>
          <w:color w:val="auto"/>
          <w:szCs w:val="20"/>
        </w:rPr>
        <w:t xml:space="preserve"> Piedāvājuma iesniegšanas termiņš: līdz </w:t>
      </w:r>
      <w:r>
        <w:rPr>
          <w:rFonts w:eastAsia="Times New Roman" w:cs="Times New Roman"/>
          <w:b/>
          <w:color w:val="auto"/>
          <w:szCs w:val="20"/>
        </w:rPr>
        <w:t>20</w:t>
      </w:r>
      <w:r>
        <w:rPr>
          <w:rFonts w:hint="default" w:eastAsia="Times New Roman" w:cs="Times New Roman"/>
          <w:b/>
          <w:color w:val="auto"/>
          <w:szCs w:val="20"/>
        </w:rPr>
        <w:t>20.</w:t>
      </w:r>
      <w:r>
        <w:rPr>
          <w:rFonts w:eastAsia="Times New Roman" w:cs="Times New Roman"/>
          <w:b/>
          <w:color w:val="auto"/>
          <w:szCs w:val="20"/>
        </w:rPr>
        <w:t xml:space="preserve">gada </w:t>
      </w:r>
      <w:r>
        <w:rPr>
          <w:rFonts w:hint="default" w:eastAsia="Times New Roman" w:cs="Times New Roman"/>
          <w:b/>
          <w:color w:val="auto"/>
          <w:szCs w:val="20"/>
        </w:rPr>
        <w:t>2</w:t>
      </w:r>
      <w:r>
        <w:rPr>
          <w:rFonts w:eastAsia="Times New Roman" w:cs="Times New Roman"/>
          <w:b/>
          <w:color w:val="auto"/>
          <w:szCs w:val="20"/>
        </w:rPr>
        <w:t>.</w:t>
      </w:r>
      <w:r>
        <w:rPr>
          <w:rFonts w:hint="default" w:eastAsia="Times New Roman" w:cs="Times New Roman"/>
          <w:b/>
          <w:color w:val="auto"/>
          <w:szCs w:val="20"/>
        </w:rPr>
        <w:t xml:space="preserve">jūlija </w:t>
      </w:r>
      <w:r>
        <w:rPr>
          <w:rFonts w:eastAsia="Times New Roman" w:cs="Times New Roman"/>
          <w:b/>
          <w:color w:val="auto"/>
          <w:szCs w:val="20"/>
        </w:rPr>
        <w:t>plkst.1</w:t>
      </w:r>
      <w:r>
        <w:rPr>
          <w:rFonts w:hint="default" w:eastAsia="Times New Roman" w:cs="Times New Roman"/>
          <w:b/>
          <w:color w:val="auto"/>
          <w:szCs w:val="20"/>
        </w:rPr>
        <w:t>4</w:t>
      </w:r>
      <w:r>
        <w:rPr>
          <w:rFonts w:eastAsia="Times New Roman" w:cs="Times New Roman"/>
          <w:b/>
          <w:color w:val="auto"/>
          <w:szCs w:val="20"/>
        </w:rPr>
        <w:t>.00.</w:t>
      </w:r>
    </w:p>
    <w:p>
      <w:pPr>
        <w:numPr>
          <w:ilvl w:val="0"/>
          <w:numId w:val="4"/>
        </w:numPr>
        <w:suppressAutoHyphens/>
        <w:spacing w:after="0" w:line="240" w:lineRule="auto"/>
        <w:ind w:left="425" w:leftChars="0" w:hanging="425" w:firstLineChars="0"/>
        <w:contextualSpacing/>
        <w:jc w:val="both"/>
        <w:rPr>
          <w:rFonts w:eastAsia="Times New Roman" w:cs="Times New Roman"/>
          <w:b/>
          <w:color w:val="auto"/>
          <w:szCs w:val="20"/>
        </w:rPr>
      </w:pPr>
      <w:r>
        <w:rPr>
          <w:rFonts w:eastAsia="Times New Roman" w:cs="Times New Roman"/>
          <w:bCs/>
          <w:color w:val="auto"/>
          <w:szCs w:val="20"/>
        </w:rPr>
        <w:t xml:space="preserve">Piedāvājuma iesniegšanas vieta: </w:t>
      </w:r>
      <w:r>
        <w:rPr>
          <w:rFonts w:eastAsia="Times New Roman" w:cs="Times New Roman"/>
          <w:color w:val="auto"/>
          <w:szCs w:val="20"/>
        </w:rPr>
        <w:t xml:space="preserve">piedāvājumu var iesniegt personīgi </w:t>
      </w:r>
      <w:r>
        <w:rPr>
          <w:rFonts w:eastAsia="Times New Roman" w:cs="Times New Roman"/>
          <w:bCs/>
          <w:color w:val="auto"/>
          <w:szCs w:val="20"/>
        </w:rPr>
        <w:t>SIA „DOBELES NAMSAIMNIEKS” 1.kabinetā, Zaļajā ielā 3, Dobelē, Dobeles novadā, darba dienās no 8:00 līdz 17:00, piektdienās no 8:00 līdz 16:00</w:t>
      </w:r>
      <w:r>
        <w:rPr>
          <w:rFonts w:eastAsia="Times New Roman" w:cs="Times New Roman"/>
          <w:bCs/>
          <w:color w:val="auto"/>
          <w:szCs w:val="20"/>
          <w:vertAlign w:val="superscript"/>
        </w:rPr>
        <w:t xml:space="preserve"> </w:t>
      </w:r>
      <w:r>
        <w:rPr>
          <w:rFonts w:eastAsia="Times New Roman" w:cs="Times New Roman"/>
          <w:bCs/>
          <w:color w:val="auto"/>
          <w:szCs w:val="20"/>
        </w:rPr>
        <w:t>(pārtraukums no 12:00 – 13:00) vai nosūtīt pa pastu uz SIA „DOBELES NAMSAIMNIEKS” juridisko adresi: Zaļā iela 3, Dobele, Dobeles novads, LV-3701.</w:t>
      </w:r>
    </w:p>
    <w:p>
      <w:pPr>
        <w:numPr>
          <w:ilvl w:val="0"/>
          <w:numId w:val="4"/>
        </w:numPr>
        <w:suppressAutoHyphens/>
        <w:spacing w:after="0" w:line="240" w:lineRule="auto"/>
        <w:ind w:left="425" w:leftChars="0" w:hanging="425" w:firstLineChars="0"/>
        <w:contextualSpacing/>
        <w:jc w:val="both"/>
        <w:rPr>
          <w:rFonts w:eastAsia="Times New Roman" w:cs="Times New Roman"/>
          <w:b/>
          <w:color w:val="auto"/>
          <w:szCs w:val="20"/>
        </w:rPr>
      </w:pPr>
      <w:r>
        <w:rPr>
          <w:rFonts w:eastAsia="Times New Roman" w:cs="Times New Roman"/>
          <w:color w:val="auto"/>
          <w:szCs w:val="20"/>
        </w:rPr>
        <w:t xml:space="preserve"> Piedāvājums jāiesniedz </w:t>
      </w:r>
      <w:r>
        <w:rPr>
          <w:rFonts w:eastAsia="Times New Roman" w:cs="Times New Roman"/>
          <w:color w:val="auto"/>
          <w:szCs w:val="20"/>
          <w:u w:val="single"/>
        </w:rPr>
        <w:t>slēgtā, aizzīmogotā aploksnē</w:t>
      </w:r>
      <w:r>
        <w:rPr>
          <w:rFonts w:eastAsia="Times New Roman" w:cs="Times New Roman"/>
          <w:color w:val="auto"/>
          <w:szCs w:val="20"/>
        </w:rPr>
        <w:t xml:space="preserve"> vai bandrolē. Pasta sūtījumam jābūt nogādātam 3.1. un 3.2.punktā noteiktajā termiņā un vietā.</w:t>
      </w:r>
    </w:p>
    <w:p>
      <w:pPr>
        <w:numPr>
          <w:ilvl w:val="0"/>
          <w:numId w:val="4"/>
        </w:numPr>
        <w:suppressAutoHyphens/>
        <w:spacing w:after="0" w:line="240" w:lineRule="auto"/>
        <w:ind w:left="425" w:leftChars="0" w:hanging="425" w:firstLineChars="0"/>
        <w:contextualSpacing/>
        <w:jc w:val="both"/>
        <w:rPr>
          <w:rFonts w:eastAsia="Times New Roman" w:cs="Times New Roman"/>
          <w:b/>
          <w:color w:val="auto"/>
          <w:szCs w:val="20"/>
        </w:rPr>
      </w:pPr>
      <w:r>
        <w:rPr>
          <w:rFonts w:eastAsia="Times New Roman" w:cs="Times New Roman"/>
          <w:color w:val="auto"/>
          <w:szCs w:val="20"/>
        </w:rPr>
        <w:t xml:space="preserve"> Iesniegto piedāvājumu pretendents var atsaukt un grozīt tikai līdz piedāvājumu iesniegšanas termiņa beigām. Visi piedāvājumu grozījumi un papildinājumi, kas tiks saņemti pēc pieteikumu iesniegšanas termiņa beigām, netiks ņemti vērā.</w:t>
      </w:r>
    </w:p>
    <w:p>
      <w:pPr>
        <w:numPr>
          <w:ilvl w:val="0"/>
          <w:numId w:val="4"/>
        </w:numPr>
        <w:suppressAutoHyphens/>
        <w:spacing w:after="0" w:line="240" w:lineRule="auto"/>
        <w:ind w:left="425" w:leftChars="0" w:hanging="425" w:firstLineChars="0"/>
        <w:contextualSpacing/>
        <w:jc w:val="both"/>
        <w:rPr>
          <w:rFonts w:eastAsia="Times New Roman" w:cs="Times New Roman"/>
          <w:b/>
          <w:color w:val="auto"/>
          <w:szCs w:val="20"/>
        </w:rPr>
      </w:pPr>
      <w:r>
        <w:rPr>
          <w:rFonts w:eastAsia="Times New Roman" w:cs="Times New Roman"/>
          <w:color w:val="auto"/>
          <w:szCs w:val="20"/>
        </w:rPr>
        <w:t xml:space="preserve"> Ja piedāvājums ir iesniegts pēc norādītā piedāvājumu iesniegšanas termiņa beigām, vai nav noformēts tā, lai piedāvājumā iekļautā informācija nebūtu pieejama līdz piedāvājumu atvēršanas brīdim, tad piedāvājumu neatvērtu atdod atpakaļ vai nosūta atpakaļ pretendentam.</w:t>
      </w:r>
    </w:p>
    <w:bookmarkEnd w:id="9"/>
    <w:p>
      <w:pPr>
        <w:spacing w:after="0" w:line="240" w:lineRule="auto"/>
        <w:contextualSpacing/>
        <w:jc w:val="both"/>
        <w:outlineLvl w:val="1"/>
        <w:rPr>
          <w:rFonts w:eastAsia="Times New Roman" w:cs="Times New Roman"/>
          <w:b/>
          <w:color w:val="FF0000"/>
          <w:szCs w:val="24"/>
        </w:rPr>
      </w:pPr>
    </w:p>
    <w:p>
      <w:pPr>
        <w:numPr>
          <w:ilvl w:val="0"/>
          <w:numId w:val="5"/>
        </w:numPr>
        <w:suppressAutoHyphens/>
        <w:spacing w:after="0" w:line="240" w:lineRule="auto"/>
        <w:ind w:leftChars="0"/>
        <w:contextualSpacing/>
        <w:jc w:val="center"/>
        <w:outlineLvl w:val="1"/>
        <w:rPr>
          <w:rFonts w:eastAsia="Times New Roman" w:cs="Times New Roman"/>
          <w:b/>
          <w:color w:val="auto"/>
          <w:szCs w:val="20"/>
        </w:rPr>
      </w:pPr>
      <w:bookmarkStart w:id="10" w:name="_Toc535914585"/>
      <w:bookmarkStart w:id="11" w:name="_Toc535914803"/>
      <w:bookmarkStart w:id="12" w:name="_Toc535915688"/>
      <w:bookmarkStart w:id="13" w:name="_Toc19521658"/>
      <w:bookmarkStart w:id="14" w:name="_Toc58053978"/>
      <w:bookmarkStart w:id="15" w:name="_Toc85448325"/>
      <w:bookmarkStart w:id="16" w:name="_Toc85449935"/>
      <w:bookmarkStart w:id="17" w:name="_Toc153873046"/>
      <w:bookmarkStart w:id="18" w:name="_Toc233878094"/>
      <w:bookmarkStart w:id="19" w:name="_Toc233878121"/>
      <w:bookmarkStart w:id="20" w:name="_Toc233878239"/>
      <w:bookmarkStart w:id="21" w:name="_Toc233878276"/>
      <w:bookmarkStart w:id="22" w:name="_Toc245179483"/>
      <w:bookmarkStart w:id="23" w:name="_Toc324317553"/>
      <w:r>
        <w:rPr>
          <w:rFonts w:eastAsia="Times New Roman" w:cs="Times New Roman"/>
          <w:b/>
          <w:color w:val="auto"/>
          <w:szCs w:val="20"/>
        </w:rPr>
        <w:t>Piedāvājuma noformējums</w:t>
      </w:r>
      <w:bookmarkEnd w:id="10"/>
      <w:bookmarkEnd w:id="11"/>
      <w:bookmarkEnd w:id="12"/>
      <w:bookmarkEnd w:id="13"/>
      <w:bookmarkEnd w:id="14"/>
      <w:bookmarkEnd w:id="15"/>
      <w:bookmarkEnd w:id="16"/>
      <w:bookmarkEnd w:id="17"/>
      <w:bookmarkEnd w:id="18"/>
      <w:bookmarkEnd w:id="19"/>
      <w:bookmarkEnd w:id="20"/>
      <w:bookmarkEnd w:id="21"/>
      <w:bookmarkEnd w:id="22"/>
      <w:bookmarkEnd w:id="23"/>
    </w:p>
    <w:p>
      <w:pPr>
        <w:numPr>
          <w:ilvl w:val="0"/>
          <w:numId w:val="6"/>
        </w:numPr>
        <w:suppressAutoHyphens/>
        <w:spacing w:after="0" w:line="240" w:lineRule="auto"/>
        <w:ind w:left="425" w:leftChars="0" w:hanging="425" w:firstLineChars="0"/>
        <w:contextualSpacing/>
        <w:jc w:val="both"/>
        <w:outlineLvl w:val="1"/>
        <w:rPr>
          <w:rFonts w:eastAsia="Times New Roman" w:cs="Times New Roman"/>
          <w:b/>
          <w:color w:val="auto"/>
          <w:szCs w:val="20"/>
        </w:rPr>
      </w:pPr>
      <w:r>
        <w:rPr>
          <w:rFonts w:eastAsia="Times New Roman" w:cs="Times New Roman"/>
          <w:b w:val="0"/>
          <w:bCs w:val="0"/>
          <w:color w:val="auto"/>
          <w:szCs w:val="20"/>
        </w:rPr>
        <w:t>P</w:t>
      </w:r>
      <w:r>
        <w:rPr>
          <w:rFonts w:eastAsia="Times New Roman" w:cs="Times New Roman"/>
          <w:color w:val="auto"/>
          <w:szCs w:val="20"/>
        </w:rPr>
        <w:t>iedāvājums iesniedzams aizlīmētā, aizzīmogotā aploksnē, uz kuras ir šādas norādes:</w:t>
      </w:r>
    </w:p>
    <w:tbl>
      <w:tblPr>
        <w:tblW w:w="7445" w:type="dxa"/>
        <w:tblInd w:w="8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7445" w:type="dxa"/>
            <w:vAlign w:val="top"/>
          </w:tcPr>
          <w:p>
            <w:pPr>
              <w:suppressAutoHyphens/>
              <w:spacing w:after="0" w:line="240" w:lineRule="auto"/>
              <w:ind w:left="360"/>
              <w:jc w:val="center"/>
              <w:rPr>
                <w:rFonts w:eastAsia="Arial" w:cs="Times New Roman"/>
                <w:color w:val="auto"/>
                <w:sz w:val="22"/>
                <w:lang w:eastAsia="ar-SA"/>
              </w:rPr>
            </w:pPr>
            <w:r>
              <w:rPr>
                <w:rFonts w:eastAsia="Arial" w:cs="Times New Roman"/>
                <w:b/>
                <w:color w:val="auto"/>
                <w:szCs w:val="24"/>
                <w:lang w:eastAsia="ar-SA"/>
              </w:rPr>
              <w:t>SIA “DOBELES NAMSAIMNIEKS”</w:t>
            </w:r>
          </w:p>
          <w:p>
            <w:pPr>
              <w:suppressAutoHyphens/>
              <w:spacing w:after="0" w:line="240" w:lineRule="auto"/>
              <w:ind w:left="360"/>
              <w:jc w:val="center"/>
              <w:rPr>
                <w:rFonts w:eastAsia="Arial" w:cs="Times New Roman"/>
                <w:b/>
                <w:color w:val="auto"/>
                <w:sz w:val="22"/>
                <w:lang w:eastAsia="ar-SA"/>
              </w:rPr>
            </w:pPr>
            <w:r>
              <w:rPr>
                <w:rFonts w:eastAsia="Arial" w:cs="Times New Roman"/>
                <w:b/>
                <w:color w:val="auto"/>
                <w:sz w:val="22"/>
                <w:lang w:eastAsia="ar-SA"/>
              </w:rPr>
              <w:t>Zaļā iela 3, Dobele, Dobeles nov., LV 3701</w:t>
            </w:r>
          </w:p>
          <w:p>
            <w:pPr>
              <w:suppressAutoHyphens/>
              <w:spacing w:after="0" w:line="240" w:lineRule="auto"/>
              <w:ind w:left="360"/>
              <w:jc w:val="center"/>
              <w:rPr>
                <w:rFonts w:eastAsia="Arial" w:cs="Times New Roman"/>
                <w:b/>
                <w:color w:val="auto"/>
                <w:sz w:val="22"/>
                <w:lang w:eastAsia="ar-SA"/>
              </w:rPr>
            </w:pPr>
          </w:p>
          <w:p>
            <w:pPr>
              <w:suppressAutoHyphens/>
              <w:spacing w:after="0" w:line="240" w:lineRule="auto"/>
              <w:ind w:left="360"/>
              <w:jc w:val="center"/>
              <w:rPr>
                <w:rFonts w:eastAsia="Arial" w:cs="Times New Roman"/>
                <w:color w:val="auto"/>
                <w:szCs w:val="24"/>
                <w:lang w:eastAsia="ar-SA"/>
              </w:rPr>
            </w:pPr>
            <w:r>
              <w:rPr>
                <w:rFonts w:eastAsia="Arial" w:cs="Times New Roman"/>
                <w:color w:val="auto"/>
                <w:szCs w:val="24"/>
                <w:lang w:eastAsia="ar-SA"/>
              </w:rPr>
              <w:t>Piedāvājums iepirkumā</w:t>
            </w:r>
          </w:p>
          <w:p>
            <w:pPr>
              <w:suppressAutoHyphens/>
              <w:spacing w:after="0" w:line="240" w:lineRule="auto"/>
              <w:ind w:left="360"/>
              <w:jc w:val="center"/>
              <w:rPr>
                <w:rFonts w:eastAsia="Arial" w:cs="Times New Roman"/>
                <w:b/>
                <w:color w:val="auto"/>
                <w:sz w:val="22"/>
                <w:lang w:eastAsia="ar-SA"/>
              </w:rPr>
            </w:pPr>
            <w:r>
              <w:rPr>
                <w:rFonts w:eastAsia="Arial" w:cs="Times New Roman"/>
                <w:b/>
                <w:color w:val="auto"/>
                <w:sz w:val="22"/>
                <w:lang w:eastAsia="ar-SA"/>
              </w:rPr>
              <w:t>„</w:t>
            </w:r>
            <w:r>
              <w:rPr>
                <w:b/>
                <w:bCs/>
                <w:color w:val="auto"/>
                <w:sz w:val="24"/>
                <w:szCs w:val="24"/>
              </w:rPr>
              <w:t>Elektroapgādes sistēmu mērījumi SIA “DOBELES NAMSAIMNIEKS” apsaimniekojamos objektos</w:t>
            </w:r>
            <w:r>
              <w:rPr>
                <w:rFonts w:eastAsia="Arial" w:cs="Times New Roman"/>
                <w:b/>
                <w:bCs/>
                <w:color w:val="auto"/>
                <w:sz w:val="22"/>
                <w:lang w:eastAsia="ar-SA"/>
              </w:rPr>
              <w:t>”</w:t>
            </w:r>
          </w:p>
          <w:p>
            <w:pPr>
              <w:suppressAutoHyphens/>
              <w:spacing w:after="0" w:line="240" w:lineRule="auto"/>
              <w:ind w:left="360"/>
              <w:jc w:val="center"/>
              <w:rPr>
                <w:rFonts w:eastAsia="Arial" w:cs="Times New Roman"/>
                <w:b/>
                <w:color w:val="auto"/>
                <w:szCs w:val="20"/>
                <w:lang w:eastAsia="ar-SA"/>
              </w:rPr>
            </w:pPr>
            <w:r>
              <w:rPr>
                <w:rFonts w:eastAsia="Arial" w:cs="Times New Roman"/>
                <w:b/>
                <w:color w:val="auto"/>
                <w:sz w:val="22"/>
                <w:lang w:eastAsia="ar-SA"/>
              </w:rPr>
              <w:t>identifikācijas numurs SIA DN 20</w:t>
            </w:r>
            <w:r>
              <w:rPr>
                <w:rFonts w:hint="default" w:eastAsia="Arial" w:cs="Times New Roman"/>
                <w:b/>
                <w:color w:val="auto"/>
                <w:sz w:val="22"/>
                <w:lang w:eastAsia="ar-SA"/>
              </w:rPr>
              <w:t>20</w:t>
            </w:r>
            <w:r>
              <w:rPr>
                <w:rFonts w:eastAsia="Arial" w:cs="Times New Roman"/>
                <w:b/>
                <w:color w:val="auto"/>
                <w:sz w:val="22"/>
                <w:lang w:eastAsia="ar-SA"/>
              </w:rPr>
              <w:t>/</w:t>
            </w:r>
            <w:r>
              <w:rPr>
                <w:rFonts w:hint="default" w:eastAsia="Arial" w:cs="Times New Roman"/>
                <w:b/>
                <w:color w:val="auto"/>
                <w:sz w:val="22"/>
                <w:lang w:eastAsia="ar-SA"/>
              </w:rPr>
              <w:t>12</w:t>
            </w:r>
          </w:p>
          <w:p>
            <w:pPr>
              <w:suppressAutoHyphens/>
              <w:spacing w:after="0" w:line="240" w:lineRule="auto"/>
              <w:ind w:left="360"/>
              <w:jc w:val="center"/>
              <w:rPr>
                <w:rFonts w:eastAsia="Arial" w:cs="Times New Roman"/>
                <w:b/>
                <w:color w:val="auto"/>
                <w:szCs w:val="24"/>
                <w:lang w:eastAsia="ar-SA"/>
              </w:rPr>
            </w:pPr>
            <w:r>
              <w:rPr>
                <w:rFonts w:eastAsia="Arial" w:cs="Times New Roman"/>
                <w:b w:val="0"/>
                <w:bCs/>
                <w:color w:val="auto"/>
                <w:szCs w:val="24"/>
                <w:lang w:eastAsia="ar-SA"/>
              </w:rPr>
              <w:t>Aizliegts atvērt līdz</w:t>
            </w:r>
            <w:r>
              <w:rPr>
                <w:rFonts w:eastAsia="Arial" w:cs="Times New Roman"/>
                <w:b/>
                <w:color w:val="auto"/>
                <w:szCs w:val="24"/>
                <w:lang w:eastAsia="ar-SA"/>
              </w:rPr>
              <w:t xml:space="preserve"> </w:t>
            </w:r>
            <w:r>
              <w:rPr>
                <w:rFonts w:eastAsia="Times New Roman" w:cs="Times New Roman"/>
                <w:color w:val="auto"/>
                <w:szCs w:val="20"/>
              </w:rPr>
              <w:t xml:space="preserve"> </w:t>
            </w:r>
            <w:r>
              <w:rPr>
                <w:rFonts w:eastAsia="Times New Roman" w:cs="Times New Roman"/>
                <w:b/>
                <w:color w:val="auto"/>
                <w:szCs w:val="20"/>
              </w:rPr>
              <w:t>20</w:t>
            </w:r>
            <w:r>
              <w:rPr>
                <w:rFonts w:hint="default" w:eastAsia="Times New Roman" w:cs="Times New Roman"/>
                <w:b/>
                <w:color w:val="auto"/>
                <w:szCs w:val="20"/>
              </w:rPr>
              <w:t>20.</w:t>
            </w:r>
            <w:r>
              <w:rPr>
                <w:rFonts w:eastAsia="Times New Roman" w:cs="Times New Roman"/>
                <w:b/>
                <w:color w:val="auto"/>
                <w:szCs w:val="20"/>
              </w:rPr>
              <w:t xml:space="preserve">gada </w:t>
            </w:r>
            <w:r>
              <w:rPr>
                <w:rFonts w:hint="default" w:eastAsia="Times New Roman" w:cs="Times New Roman"/>
                <w:b/>
                <w:color w:val="auto"/>
                <w:szCs w:val="20"/>
              </w:rPr>
              <w:t>2</w:t>
            </w:r>
            <w:r>
              <w:rPr>
                <w:rFonts w:eastAsia="Times New Roman" w:cs="Times New Roman"/>
                <w:b/>
                <w:color w:val="auto"/>
                <w:szCs w:val="20"/>
              </w:rPr>
              <w:t>.</w:t>
            </w:r>
            <w:r>
              <w:rPr>
                <w:rFonts w:hint="default" w:eastAsia="Times New Roman" w:cs="Times New Roman"/>
                <w:b/>
                <w:color w:val="auto"/>
                <w:szCs w:val="20"/>
              </w:rPr>
              <w:t xml:space="preserve">jūlija </w:t>
            </w:r>
            <w:r>
              <w:rPr>
                <w:rFonts w:eastAsia="Times New Roman" w:cs="Times New Roman"/>
                <w:b/>
                <w:color w:val="auto"/>
                <w:szCs w:val="20"/>
              </w:rPr>
              <w:t>plkst.1</w:t>
            </w:r>
            <w:r>
              <w:rPr>
                <w:rFonts w:hint="default" w:eastAsia="Times New Roman" w:cs="Times New Roman"/>
                <w:b/>
                <w:color w:val="auto"/>
                <w:szCs w:val="20"/>
              </w:rPr>
              <w:t>4</w:t>
            </w:r>
            <w:r>
              <w:rPr>
                <w:rFonts w:eastAsia="Times New Roman" w:cs="Times New Roman"/>
                <w:b/>
                <w:color w:val="auto"/>
                <w:szCs w:val="20"/>
              </w:rPr>
              <w:t>.00</w:t>
            </w:r>
          </w:p>
          <w:p>
            <w:pPr>
              <w:spacing w:after="0" w:line="240" w:lineRule="auto"/>
              <w:contextualSpacing/>
              <w:jc w:val="both"/>
              <w:rPr>
                <w:rFonts w:eastAsia="Times New Roman" w:cs="Times New Roman"/>
                <w:b/>
                <w:color w:val="auto"/>
                <w:szCs w:val="20"/>
              </w:rPr>
            </w:pPr>
          </w:p>
        </w:tc>
      </w:tr>
    </w:tbl>
    <w:p>
      <w:pPr>
        <w:suppressAutoHyphens/>
        <w:spacing w:after="0" w:line="240" w:lineRule="auto"/>
        <w:jc w:val="both"/>
        <w:rPr>
          <w:rFonts w:eastAsia="Times New Roman" w:cs="Times New Roman"/>
          <w:b/>
          <w:color w:val="FF0000"/>
          <w:szCs w:val="24"/>
          <w:lang w:eastAsia="ar-SA"/>
        </w:rPr>
      </w:pPr>
    </w:p>
    <w:p>
      <w:pPr>
        <w:numPr>
          <w:ilvl w:val="0"/>
          <w:numId w:val="6"/>
        </w:numPr>
        <w:suppressAutoHyphens/>
        <w:spacing w:after="0" w:line="240" w:lineRule="auto"/>
        <w:ind w:left="425" w:leftChars="0" w:hanging="425" w:firstLineChars="0"/>
        <w:contextualSpacing/>
        <w:jc w:val="both"/>
        <w:rPr>
          <w:rFonts w:eastAsia="Times New Roman" w:cs="Times New Roman"/>
          <w:color w:val="auto"/>
          <w:szCs w:val="20"/>
        </w:rPr>
      </w:pPr>
      <w:r>
        <w:rPr>
          <w:rFonts w:eastAsia="Times New Roman" w:cs="Times New Roman"/>
          <w:color w:val="auto"/>
          <w:szCs w:val="20"/>
        </w:rPr>
        <w:t>Visa nolikumā noteiktā informācija pretendentam ir jāiesniedz rakstiski un atbilstoši Nolikuma pielikumos pievienotajām veidlapām.</w:t>
      </w:r>
    </w:p>
    <w:p>
      <w:pPr>
        <w:numPr>
          <w:ilvl w:val="0"/>
          <w:numId w:val="6"/>
        </w:numPr>
        <w:suppressAutoHyphens/>
        <w:spacing w:after="0" w:line="240" w:lineRule="auto"/>
        <w:ind w:left="425" w:leftChars="0" w:hanging="425" w:firstLineChars="0"/>
        <w:contextualSpacing/>
        <w:jc w:val="both"/>
        <w:rPr>
          <w:rFonts w:eastAsia="Times New Roman" w:cs="Times New Roman"/>
          <w:color w:val="auto"/>
          <w:szCs w:val="20"/>
        </w:rPr>
      </w:pPr>
      <w:r>
        <w:rPr>
          <w:rFonts w:eastAsia="Times New Roman" w:cs="Times New Roman"/>
          <w:color w:val="auto"/>
          <w:szCs w:val="20"/>
        </w:rPr>
        <w:t xml:space="preserve">Piedāvājuma dokumentiem ir jābūt latviešu valodā. Ārvalstu institūciju izdotie apliecinājumu dokumenti var būt svešvalodā ar pievienotu pretendenta apliecinātu tulkojumu latviešu valodā. </w:t>
      </w:r>
    </w:p>
    <w:p>
      <w:pPr>
        <w:numPr>
          <w:ilvl w:val="0"/>
          <w:numId w:val="6"/>
        </w:numPr>
        <w:suppressAutoHyphens/>
        <w:spacing w:after="0" w:line="240" w:lineRule="auto"/>
        <w:ind w:left="425" w:leftChars="0" w:hanging="425" w:firstLineChars="0"/>
        <w:contextualSpacing/>
        <w:jc w:val="both"/>
        <w:rPr>
          <w:rFonts w:eastAsia="Times New Roman" w:cs="Times New Roman"/>
          <w:color w:val="auto"/>
          <w:szCs w:val="20"/>
        </w:rPr>
      </w:pPr>
      <w:r>
        <w:rPr>
          <w:rFonts w:eastAsia="Times New Roman" w:cs="Times New Roman"/>
          <w:color w:val="auto"/>
          <w:szCs w:val="20"/>
        </w:rPr>
        <w:t>Svešvalodā sagatavotiem piedāvājuma dokumentiem jāpievieno pretendenta apliecināts tulkojums latviešu valodā, norādot – „Tulkojums atbilst oriģinālam", apliecinātāja amatu, vārdu, uzvārdu un datumu. Par tulkojuma atbilstību dokumenta oriģinālam ir atbildīgs Pretendents.</w:t>
      </w:r>
    </w:p>
    <w:p>
      <w:pPr>
        <w:numPr>
          <w:ilvl w:val="0"/>
          <w:numId w:val="6"/>
        </w:numPr>
        <w:suppressAutoHyphens/>
        <w:spacing w:after="0" w:line="240" w:lineRule="auto"/>
        <w:ind w:left="425" w:leftChars="0" w:hanging="425" w:firstLineChars="0"/>
        <w:contextualSpacing/>
        <w:jc w:val="both"/>
        <w:rPr>
          <w:rFonts w:eastAsia="Times New Roman" w:cs="Times New Roman"/>
          <w:color w:val="auto"/>
          <w:szCs w:val="20"/>
        </w:rPr>
      </w:pPr>
      <w:r>
        <w:rPr>
          <w:rFonts w:eastAsia="Times New Roman" w:cs="Times New Roman"/>
          <w:color w:val="auto"/>
          <w:szCs w:val="20"/>
        </w:rPr>
        <w:t>Piedāvājums ir jāiesniedz ar sanumurētām lapām, caurauklots, ar uzlīmi, kas nostiprina auklu. Uz uzlīmes ir jābūt norādītam lapu skaitam, Pretendenta zīmoga nospiedumam un tās personas parakstam, kura paraksta piedāvājumu. Ja uz piedāvājuma lapām ir izdarīti labojumi, tiem ir jābūt noformētiem atbilstoši normatīvo aktu prasībām.</w:t>
      </w:r>
    </w:p>
    <w:p>
      <w:pPr>
        <w:numPr>
          <w:ilvl w:val="0"/>
          <w:numId w:val="6"/>
        </w:numPr>
        <w:suppressAutoHyphens/>
        <w:spacing w:after="0" w:line="240" w:lineRule="auto"/>
        <w:ind w:left="425" w:leftChars="0" w:hanging="425" w:firstLineChars="0"/>
        <w:contextualSpacing/>
        <w:jc w:val="both"/>
        <w:rPr>
          <w:rFonts w:eastAsia="Times New Roman" w:cs="Times New Roman"/>
          <w:color w:val="auto"/>
          <w:szCs w:val="20"/>
        </w:rPr>
      </w:pPr>
      <w:r>
        <w:rPr>
          <w:rFonts w:eastAsia="Times New Roman" w:cs="Times New Roman"/>
          <w:color w:val="auto"/>
          <w:szCs w:val="20"/>
        </w:rPr>
        <w:t>Piedāvājums ir jāparaksta personai, kura likumiski pārstāv pretendentu, vai ir pilnvarota pārstāvēt pretendentu šajā iepirkuma procedūrā. Ja piedāvājumu paraksta pilnvarotā persona, tad piedāvājuma dokumentiem ir jāpievieno pilnvara.</w:t>
      </w:r>
    </w:p>
    <w:p>
      <w:pPr>
        <w:numPr>
          <w:ilvl w:val="0"/>
          <w:numId w:val="6"/>
        </w:numPr>
        <w:suppressAutoHyphens/>
        <w:spacing w:after="0" w:line="240" w:lineRule="auto"/>
        <w:ind w:left="425" w:leftChars="0" w:hanging="425" w:firstLineChars="0"/>
        <w:contextualSpacing/>
        <w:jc w:val="both"/>
        <w:rPr>
          <w:rFonts w:eastAsia="Times New Roman" w:cs="Times New Roman"/>
          <w:color w:val="auto"/>
          <w:szCs w:val="20"/>
        </w:rPr>
      </w:pPr>
      <w:r>
        <w:rPr>
          <w:rFonts w:eastAsia="Times New Roman" w:cs="Times New Roman"/>
          <w:color w:val="auto"/>
          <w:szCs w:val="20"/>
        </w:rPr>
        <w:t>Piedāvājums ir jānoformē atbilstoši šā nolikuma un normatīvo aktu prasībām.</w:t>
      </w:r>
    </w:p>
    <w:p>
      <w:pPr>
        <w:spacing w:after="0" w:line="240" w:lineRule="auto"/>
        <w:contextualSpacing/>
        <w:jc w:val="center"/>
        <w:rPr>
          <w:rFonts w:eastAsia="Times New Roman" w:cs="Times New Roman"/>
          <w:b/>
          <w:color w:val="auto"/>
          <w:szCs w:val="24"/>
        </w:rPr>
      </w:pPr>
    </w:p>
    <w:p>
      <w:pPr>
        <w:numPr>
          <w:numId w:val="0"/>
        </w:numPr>
        <w:suppressAutoHyphens/>
        <w:spacing w:after="0" w:line="240" w:lineRule="auto"/>
        <w:ind w:leftChars="0"/>
        <w:contextualSpacing/>
        <w:jc w:val="center"/>
        <w:outlineLvl w:val="1"/>
        <w:rPr>
          <w:rFonts w:eastAsia="Times New Roman" w:cs="Times New Roman"/>
          <w:b/>
          <w:color w:val="auto"/>
          <w:szCs w:val="20"/>
        </w:rPr>
      </w:pPr>
      <w:bookmarkStart w:id="24" w:name="_Toc324317554"/>
      <w:r>
        <w:rPr>
          <w:rFonts w:hint="default" w:eastAsia="Times New Roman" w:cs="Times New Roman"/>
          <w:b/>
          <w:color w:val="auto"/>
          <w:szCs w:val="20"/>
        </w:rPr>
        <w:t xml:space="preserve">5. </w:t>
      </w:r>
      <w:r>
        <w:rPr>
          <w:rFonts w:eastAsia="Times New Roman" w:cs="Times New Roman"/>
          <w:b/>
          <w:color w:val="auto"/>
          <w:szCs w:val="20"/>
        </w:rPr>
        <w:t>Prasības pretendentiem un iesniedzamie dokumenti</w:t>
      </w:r>
      <w:bookmarkEnd w:id="24"/>
    </w:p>
    <w:p>
      <w:pPr>
        <w:numPr>
          <w:ilvl w:val="0"/>
          <w:numId w:val="7"/>
        </w:numPr>
        <w:suppressAutoHyphens/>
        <w:spacing w:after="0" w:line="240" w:lineRule="auto"/>
        <w:ind w:left="425" w:leftChars="0" w:hanging="425" w:firstLineChars="0"/>
        <w:jc w:val="both"/>
        <w:rPr>
          <w:rFonts w:eastAsia="Times New Roman" w:cs="Times New Roman"/>
          <w:color w:val="auto"/>
          <w:szCs w:val="24"/>
          <w:lang w:eastAsia="ar-SA"/>
        </w:rPr>
      </w:pPr>
      <w:r>
        <w:rPr>
          <w:color w:val="auto"/>
        </w:rPr>
        <w:t>Pretendents var būt jebkura fiziska vai juridiska persona, šādu personu apvienība jebkurā to kombinācijā, kura ir iesniegusi piedāvājumu konkursā atbilstoši nolikumā noteiktajām prasībām</w:t>
      </w:r>
      <w:r>
        <w:rPr>
          <w:rFonts w:hint="default"/>
          <w:color w:val="auto"/>
        </w:rPr>
        <w:t>.</w:t>
      </w:r>
    </w:p>
    <w:p>
      <w:pPr>
        <w:numPr>
          <w:ilvl w:val="0"/>
          <w:numId w:val="7"/>
        </w:numPr>
        <w:suppressAutoHyphens/>
        <w:spacing w:after="0" w:line="240" w:lineRule="auto"/>
        <w:ind w:left="425" w:leftChars="0" w:hanging="425" w:firstLineChars="0"/>
        <w:jc w:val="both"/>
        <w:rPr>
          <w:rFonts w:eastAsia="Times New Roman" w:cs="Times New Roman"/>
          <w:color w:val="auto"/>
          <w:szCs w:val="24"/>
          <w:lang w:eastAsia="ar-SA"/>
        </w:rPr>
      </w:pPr>
      <w:r>
        <w:rPr>
          <w:color w:val="auto"/>
        </w:rPr>
        <w:t>Piedāvājumu drīkst iesniegt</w:t>
      </w:r>
      <w:r>
        <w:rPr>
          <w:rFonts w:hint="default"/>
          <w:color w:val="auto"/>
        </w:rPr>
        <w:t>:</w:t>
      </w:r>
    </w:p>
    <w:p>
      <w:pPr>
        <w:pStyle w:val="9"/>
        <w:numPr>
          <w:ilvl w:val="1"/>
          <w:numId w:val="8"/>
        </w:numPr>
        <w:tabs>
          <w:tab w:val="left" w:pos="1418"/>
        </w:tabs>
        <w:ind w:left="567" w:leftChars="0" w:firstLine="153" w:firstLineChars="0"/>
        <w:jc w:val="both"/>
        <w:rPr>
          <w:rFonts w:ascii="Times New Roman" w:hAnsi="Times New Roman"/>
          <w:b w:val="0"/>
          <w:color w:val="auto"/>
          <w:sz w:val="24"/>
        </w:rPr>
      </w:pPr>
      <w:r>
        <w:rPr>
          <w:rFonts w:ascii="Times New Roman" w:hAnsi="Times New Roman"/>
          <w:b w:val="0"/>
          <w:color w:val="auto"/>
          <w:sz w:val="24"/>
        </w:rPr>
        <w:t>piegādātājs, kas ir juridiska vai fiziska persona (turpmāk – pretendents);</w:t>
      </w:r>
    </w:p>
    <w:p>
      <w:pPr>
        <w:pStyle w:val="9"/>
        <w:numPr>
          <w:ilvl w:val="1"/>
          <w:numId w:val="8"/>
        </w:numPr>
        <w:tabs>
          <w:tab w:val="left" w:pos="1418"/>
        </w:tabs>
        <w:ind w:left="567" w:leftChars="0" w:firstLine="153" w:firstLineChars="0"/>
        <w:jc w:val="both"/>
        <w:rPr>
          <w:rFonts w:ascii="Times New Roman" w:hAnsi="Times New Roman"/>
          <w:b w:val="0"/>
          <w:color w:val="auto"/>
          <w:sz w:val="24"/>
        </w:rPr>
      </w:pPr>
      <w:r>
        <w:rPr>
          <w:rFonts w:ascii="Times New Roman" w:hAnsi="Times New Roman"/>
          <w:b w:val="0"/>
          <w:color w:val="auto"/>
          <w:sz w:val="24"/>
        </w:rPr>
        <w:t xml:space="preserve">piegādātāju apvienība (turpmāk arī – pretendents) nolikuma </w:t>
      </w:r>
      <w:r>
        <w:rPr>
          <w:rFonts w:hint="default" w:ascii="Times New Roman" w:hAnsi="Times New Roman"/>
          <w:b w:val="0"/>
          <w:color w:val="auto"/>
          <w:sz w:val="24"/>
        </w:rPr>
        <w:t>1</w:t>
      </w:r>
      <w:r>
        <w:rPr>
          <w:rFonts w:ascii="Times New Roman" w:hAnsi="Times New Roman"/>
          <w:b w:val="0"/>
          <w:color w:val="auto"/>
          <w:sz w:val="24"/>
        </w:rPr>
        <w:t>.pielikumā “Pretendenta pieteikums”, norādot visus apvienības dalībniekus. Pretendenta piedāvājumam jāpievieno visu apvienības dalībnieku parakstīta vienošanās. Vienošanās tekstā jāiekļauj:</w:t>
      </w:r>
    </w:p>
    <w:p>
      <w:pPr>
        <w:numPr>
          <w:ilvl w:val="0"/>
          <w:numId w:val="9"/>
        </w:numPr>
        <w:tabs>
          <w:tab w:val="clear" w:pos="2040"/>
        </w:tabs>
        <w:ind w:left="2552" w:hanging="425"/>
        <w:jc w:val="both"/>
        <w:rPr>
          <w:color w:val="auto"/>
        </w:rPr>
      </w:pPr>
      <w:r>
        <w:rPr>
          <w:color w:val="auto"/>
        </w:rPr>
        <w:t>nosacījums, ka katrs apvienības dalībnieks atsevišķi un visi kopā ir atbildīgi par iepirkuma līguma izpildi;</w:t>
      </w:r>
    </w:p>
    <w:p>
      <w:pPr>
        <w:numPr>
          <w:ilvl w:val="0"/>
          <w:numId w:val="9"/>
        </w:numPr>
        <w:tabs>
          <w:tab w:val="clear" w:pos="2040"/>
        </w:tabs>
        <w:ind w:left="2552" w:hanging="425"/>
        <w:jc w:val="both"/>
        <w:rPr>
          <w:color w:val="auto"/>
        </w:rPr>
      </w:pPr>
      <w:r>
        <w:rPr>
          <w:color w:val="auto"/>
        </w:rPr>
        <w:t>galvenais dalībnieks, kurš pilnvarots parakstīt piedāvājumu, iepirkuma līgumu un citus dokumentus, saņemt un izdot rīkojumus piegādātāja apvienības dalībnieku vārdā, kā arī saņemt maksājumus no pasūtītāja.</w:t>
      </w:r>
    </w:p>
    <w:p>
      <w:pPr>
        <w:tabs>
          <w:tab w:val="left" w:pos="1800"/>
        </w:tabs>
        <w:spacing w:before="120" w:after="120"/>
        <w:jc w:val="both"/>
        <w:rPr>
          <w:i/>
          <w:color w:val="auto"/>
        </w:rPr>
      </w:pPr>
      <w:r>
        <w:rPr>
          <w:i/>
          <w:color w:val="auto"/>
        </w:rPr>
        <w:t>Ja ar piegādātāju apvienību tiks nolemts slēgt iepirkuma līgumu, tad pirms iepirkuma līguma noslēgšanas piegādātāju apvienībai jānoslēdz sabiedrības līgums Civillikuma 2241. – 2280.pantā noteiktajā kārtībā un viens tā eksemplārs (oriģināls vai kopija, ja tiek uzrādīts oriģināls) jāiesniedz Pasūtītājam. Sabiedrības līgumu var aizstāt ar pilnsabiedrības vai komandītsabiedrības nodibināšanu, iesniedzot reģistrācijas dokumenta kopiju.</w:t>
      </w:r>
    </w:p>
    <w:p>
      <w:pPr>
        <w:numPr>
          <w:ilvl w:val="0"/>
          <w:numId w:val="10"/>
        </w:numPr>
        <w:tabs>
          <w:tab w:val="clear" w:pos="425"/>
        </w:tabs>
        <w:spacing w:before="120" w:after="120"/>
        <w:ind w:left="705" w:leftChars="0" w:firstLine="15" w:firstLineChars="0"/>
        <w:jc w:val="both"/>
        <w:rPr>
          <w:rFonts w:ascii="Times New Roman" w:hAnsi="Times New Roman"/>
          <w:b w:val="0"/>
          <w:color w:val="auto"/>
          <w:sz w:val="24"/>
        </w:rPr>
      </w:pPr>
      <w:r>
        <w:rPr>
          <w:rFonts w:ascii="Times New Roman" w:hAnsi="Times New Roman"/>
          <w:b w:val="0"/>
          <w:color w:val="auto"/>
          <w:sz w:val="24"/>
        </w:rPr>
        <w:t>Personālsabiedrība (pilnsabiedrība vai komandītsabiedrība) (turpmāk arī – pretendents), iepirkuma nolikuma 3.pielikumā “Pretendenta pieteikums” norādot visus sabiedrības dalībniekus.</w:t>
      </w:r>
    </w:p>
    <w:p>
      <w:pPr>
        <w:numPr>
          <w:ilvl w:val="0"/>
          <w:numId w:val="11"/>
        </w:numPr>
        <w:suppressAutoHyphens/>
        <w:spacing w:after="0" w:line="240" w:lineRule="auto"/>
        <w:ind w:left="425" w:leftChars="0" w:hanging="425" w:firstLineChars="0"/>
        <w:jc w:val="both"/>
        <w:rPr>
          <w:rFonts w:eastAsia="Times New Roman" w:cs="Times New Roman"/>
          <w:color w:val="auto"/>
          <w:szCs w:val="24"/>
          <w:lang w:eastAsia="ar-SA"/>
        </w:rPr>
      </w:pPr>
      <w:r>
        <w:rPr>
          <w:rFonts w:eastAsia="Times New Roman" w:cs="Times New Roman"/>
          <w:color w:val="auto"/>
          <w:szCs w:val="24"/>
          <w:lang w:eastAsia="ar-SA"/>
        </w:rPr>
        <w:t>Pretendenta saimnieciskajam, finansiālajam stāvoklim un tehniskajām iespējām izvirzītas sekojošas minimālās prasības:</w:t>
      </w:r>
      <w:bookmarkStart w:id="25" w:name="_Toc226510441"/>
      <w:bookmarkEnd w:id="25"/>
      <w:bookmarkStart w:id="26" w:name="_Toc226510816"/>
      <w:bookmarkEnd w:id="26"/>
      <w:bookmarkStart w:id="27" w:name="_Toc226776727"/>
      <w:bookmarkEnd w:id="27"/>
      <w:bookmarkStart w:id="28" w:name="_Toc226778844"/>
      <w:bookmarkEnd w:id="28"/>
      <w:bookmarkStart w:id="29" w:name="_Toc226779259"/>
      <w:bookmarkEnd w:id="29"/>
      <w:bookmarkStart w:id="30" w:name="_Toc226887363"/>
    </w:p>
    <w:p>
      <w:pPr>
        <w:numPr>
          <w:ilvl w:val="0"/>
          <w:numId w:val="12"/>
        </w:numPr>
        <w:tabs>
          <w:tab w:val="clear" w:pos="425"/>
        </w:tabs>
        <w:suppressAutoHyphens/>
        <w:spacing w:after="0" w:line="240" w:lineRule="auto"/>
        <w:ind w:left="705" w:leftChars="0" w:firstLine="15" w:firstLineChars="0"/>
        <w:jc w:val="both"/>
        <w:rPr>
          <w:rFonts w:eastAsia="Times New Roman" w:cs="Times New Roman"/>
          <w:color w:val="auto"/>
          <w:szCs w:val="24"/>
          <w:lang w:eastAsia="ar-SA"/>
        </w:rPr>
      </w:pPr>
      <w:r>
        <w:rPr>
          <w:rFonts w:eastAsia="Times New Roman" w:cs="Times New Roman"/>
          <w:color w:val="auto"/>
          <w:szCs w:val="24"/>
          <w:lang w:eastAsia="ar-SA"/>
        </w:rPr>
        <w:t>Pretendentu kvalifikācijas prasības ir obligātas visiem pretendentiem, kas vēlas iegūt tiesības noslēgt līgumu;</w:t>
      </w:r>
    </w:p>
    <w:p>
      <w:pPr>
        <w:numPr>
          <w:ilvl w:val="0"/>
          <w:numId w:val="12"/>
        </w:numPr>
        <w:tabs>
          <w:tab w:val="clear" w:pos="425"/>
        </w:tabs>
        <w:suppressAutoHyphens/>
        <w:spacing w:after="0" w:line="240" w:lineRule="auto"/>
        <w:ind w:left="705" w:leftChars="0" w:firstLine="15" w:firstLineChars="0"/>
        <w:jc w:val="both"/>
        <w:rPr>
          <w:rFonts w:eastAsia="Times New Roman" w:cs="Times New Roman"/>
          <w:color w:val="auto"/>
          <w:szCs w:val="24"/>
          <w:lang w:eastAsia="ar-SA"/>
        </w:rPr>
      </w:pPr>
      <w:r>
        <w:rPr>
          <w:rFonts w:eastAsia="Times New Roman" w:cs="Times New Roman"/>
          <w:color w:val="auto"/>
          <w:szCs w:val="24"/>
          <w:lang w:eastAsia="ar-SA"/>
        </w:rPr>
        <w:t>Pretendents ir reģistrēts normatīvajos aktos noteiktajā kārtībā Komercreģistrā vai līdzvērtīgā reģistrā ārvalstīs, licencēts vai sertificēts atbilstoši attiecīgās valsts normatīvo aktu prasībām un ir tiesīgs sniegt pasūtītājam nepieciešamo pakalpojumu Latvijas Republikā. Personu apvienībai, attiecībā uz kuru pieņemts lēmums slēgt līgumu, līdz līguma slēgšanas brīdim obligāti jāreģistrējas kā pilnsabiedrībai vai līgumsabiedrībai Latvijas Republikas normatīvajos aktos noteiktajā kārtībā;</w:t>
      </w:r>
    </w:p>
    <w:p>
      <w:pPr>
        <w:numPr>
          <w:ilvl w:val="0"/>
          <w:numId w:val="12"/>
        </w:numPr>
        <w:tabs>
          <w:tab w:val="clear" w:pos="425"/>
        </w:tabs>
        <w:suppressAutoHyphens/>
        <w:spacing w:after="0" w:line="240" w:lineRule="auto"/>
        <w:ind w:left="705" w:leftChars="0" w:firstLine="15" w:firstLineChars="0"/>
        <w:jc w:val="both"/>
        <w:rPr>
          <w:rFonts w:eastAsia="Times New Roman" w:cs="Times New Roman"/>
          <w:b w:val="0"/>
          <w:bCs w:val="0"/>
          <w:color w:val="auto"/>
          <w:szCs w:val="24"/>
          <w:lang w:eastAsia="ar-SA"/>
        </w:rPr>
      </w:pPr>
      <w:r>
        <w:rPr>
          <w:rFonts w:eastAsia="Times New Roman" w:cs="Times New Roman"/>
          <w:color w:val="auto"/>
          <w:szCs w:val="24"/>
          <w:lang w:eastAsia="ar-SA"/>
        </w:rPr>
        <w:t>Pretendentam pieejami atbilstošas kvalifikācijas sertificēti darbinieki, kuriem piešķirti Elektrodrošības grupa B vai C līmeņa sertifikāti (jābūt spēkā esošam visa pakalpojuma sniegšanas periodā);</w:t>
      </w:r>
    </w:p>
    <w:p>
      <w:pPr>
        <w:numPr>
          <w:ilvl w:val="0"/>
          <w:numId w:val="12"/>
        </w:numPr>
        <w:tabs>
          <w:tab w:val="clear" w:pos="425"/>
        </w:tabs>
        <w:suppressAutoHyphens/>
        <w:spacing w:after="0" w:line="240" w:lineRule="auto"/>
        <w:ind w:left="705" w:leftChars="0" w:firstLine="15" w:firstLineChars="0"/>
        <w:jc w:val="both"/>
        <w:rPr>
          <w:rFonts w:eastAsia="Times New Roman" w:cs="Times New Roman"/>
          <w:color w:val="auto"/>
          <w:szCs w:val="24"/>
          <w:lang w:eastAsia="ar-SA"/>
        </w:rPr>
      </w:pPr>
      <w:r>
        <w:rPr>
          <w:rFonts w:eastAsia="Times New Roman" w:cs="Times New Roman"/>
          <w:color w:val="auto"/>
          <w:szCs w:val="24"/>
          <w:lang w:eastAsia="ar-SA"/>
        </w:rPr>
        <w:t>Pretendenta piedāvātiem speciālistiem ir atbilstoša izglītība un spēkā esošs profesionālās kvalifikācijas sertifikāts (jābūt spēkā esošam visu pakalpojuma sniegšanas periodā) elektroietaišu izbūvē, izbūves darbu vadīšanā, ēku iekšējās elektroinstalācijas projektēšanas jomās, kas izsniegti</w:t>
      </w:r>
      <w:r>
        <w:rPr>
          <w:rFonts w:eastAsia="Times New Roman" w:cs="Times New Roman"/>
          <w:b w:val="0"/>
          <w:bCs w:val="0"/>
          <w:color w:val="auto"/>
          <w:szCs w:val="24"/>
          <w:lang w:eastAsia="ar-SA"/>
        </w:rPr>
        <w:t xml:space="preserve"> Latvijas Elektroenerģētiķu un Energobūvnieku (LEEA) vai Latvijas Elektriķu Brālības (LEB) atbilstoši likumdošanas prasībām.</w:t>
      </w:r>
    </w:p>
    <w:p>
      <w:pPr>
        <w:numPr>
          <w:ilvl w:val="0"/>
          <w:numId w:val="12"/>
        </w:numPr>
        <w:tabs>
          <w:tab w:val="clear" w:pos="425"/>
        </w:tabs>
        <w:suppressAutoHyphens/>
        <w:spacing w:after="0" w:line="240" w:lineRule="auto"/>
        <w:ind w:left="705" w:leftChars="0" w:firstLine="15" w:firstLineChars="0"/>
        <w:jc w:val="both"/>
        <w:rPr>
          <w:rFonts w:eastAsia="Times New Roman" w:cs="Times New Roman"/>
          <w:color w:val="auto"/>
          <w:szCs w:val="24"/>
          <w:lang w:eastAsia="ar-SA"/>
        </w:rPr>
      </w:pPr>
      <w:r>
        <w:rPr>
          <w:color w:val="auto"/>
        </w:rPr>
        <w:t xml:space="preserve">Pretendents līguma slēgšanas tiesību piešķiršanas gadījumā, 5 (piecu) darba dienu laikā no līguma spēkā stāšanās dienas, bet ne vēlāk kā pirms pakalpojuma uzsākšanas veiks savas civiltiesiskās atbildības apdrošināšanu konkrētajā/-jos objektā/-os par līguma izpildes laikā pretendenta darbības vai bezdarbības rezultātā pasūtītājam un trešajām  personām nodarīto zaudējumu atlīdzināšanu ar kopējo atbildības limitu ne mazāku kā EUR </w:t>
      </w:r>
      <w:r>
        <w:rPr>
          <w:rFonts w:hint="default"/>
          <w:color w:val="auto"/>
        </w:rPr>
        <w:t>30</w:t>
      </w:r>
      <w:r>
        <w:rPr>
          <w:color w:val="auto"/>
        </w:rPr>
        <w:t xml:space="preserve"> 000,00 (</w:t>
      </w:r>
      <w:r>
        <w:rPr>
          <w:rFonts w:hint="default"/>
          <w:color w:val="auto"/>
        </w:rPr>
        <w:t xml:space="preserve">trīsdesmit </w:t>
      </w:r>
      <w:r>
        <w:rPr>
          <w:color w:val="auto"/>
        </w:rPr>
        <w:t xml:space="preserve">tūkstoši euro, 00 centi) un pašrisku ne lielāku kā </w:t>
      </w:r>
      <w:r>
        <w:rPr>
          <w:rFonts w:hint="default"/>
          <w:color w:val="auto"/>
        </w:rPr>
        <w:t>3</w:t>
      </w:r>
      <w:r>
        <w:rPr>
          <w:color w:val="auto"/>
        </w:rPr>
        <w:t>00,00 (</w:t>
      </w:r>
      <w:r>
        <w:rPr>
          <w:rFonts w:hint="default"/>
          <w:color w:val="auto"/>
        </w:rPr>
        <w:t xml:space="preserve">trīs </w:t>
      </w:r>
      <w:r>
        <w:rPr>
          <w:color w:val="auto"/>
        </w:rPr>
        <w:t>simti euro, 00 centi) EUR un atbildības limitu par katru gadījumu ne mazāku kā EUR</w:t>
      </w:r>
      <w:r>
        <w:rPr>
          <w:rFonts w:hint="default"/>
          <w:color w:val="auto"/>
        </w:rPr>
        <w:t xml:space="preserve"> 30</w:t>
      </w:r>
      <w:r>
        <w:rPr>
          <w:color w:val="auto"/>
        </w:rPr>
        <w:t xml:space="preserve"> 000,00 (</w:t>
      </w:r>
      <w:r>
        <w:rPr>
          <w:rFonts w:hint="default"/>
          <w:color w:val="auto"/>
        </w:rPr>
        <w:t xml:space="preserve">trīsdesmit </w:t>
      </w:r>
      <w:r>
        <w:rPr>
          <w:color w:val="auto"/>
        </w:rPr>
        <w:t xml:space="preserve">tūkstoši euro, 00 centi). </w:t>
      </w:r>
    </w:p>
    <w:p>
      <w:pPr>
        <w:numPr>
          <w:ilvl w:val="0"/>
          <w:numId w:val="12"/>
        </w:numPr>
        <w:tabs>
          <w:tab w:val="clear" w:pos="425"/>
        </w:tabs>
        <w:suppressAutoHyphens/>
        <w:spacing w:after="0" w:line="240" w:lineRule="auto"/>
        <w:ind w:left="705" w:leftChars="0" w:firstLine="15" w:firstLineChars="0"/>
        <w:jc w:val="both"/>
        <w:rPr>
          <w:rFonts w:eastAsia="Times New Roman" w:cs="Times New Roman"/>
          <w:color w:val="auto"/>
          <w:szCs w:val="24"/>
          <w:lang w:eastAsia="ar-SA"/>
        </w:rPr>
      </w:pPr>
      <w:r>
        <w:rPr>
          <w:rFonts w:eastAsia="Times New Roman" w:cs="Times New Roman"/>
          <w:color w:val="auto"/>
          <w:szCs w:val="24"/>
          <w:lang w:eastAsia="ar-SA"/>
        </w:rPr>
        <w:t>Pretendentam ir jābūt sertificētam atbilstoši ISO Vadības standartiem vai ieviestas Kvalitātes vadības sistēma ISO  9001 un Vides vadības sistēmas ISO 14001 vai alternatīvas sistēmas attiecīgā darbības veida – projektēšana, būvdarbu vadīšana, elektrisko mērījumu veikšana;</w:t>
      </w:r>
    </w:p>
    <w:p>
      <w:pPr>
        <w:numPr>
          <w:ilvl w:val="0"/>
          <w:numId w:val="12"/>
        </w:numPr>
        <w:tabs>
          <w:tab w:val="clear" w:pos="425"/>
        </w:tabs>
        <w:suppressAutoHyphens/>
        <w:spacing w:after="0" w:line="240" w:lineRule="auto"/>
        <w:ind w:left="705" w:leftChars="0" w:firstLine="15" w:firstLineChars="0"/>
        <w:jc w:val="both"/>
        <w:rPr>
          <w:rFonts w:eastAsia="Times New Roman" w:cs="Times New Roman"/>
          <w:color w:val="auto"/>
          <w:szCs w:val="24"/>
          <w:lang w:eastAsia="ar-SA"/>
        </w:rPr>
      </w:pPr>
      <w:r>
        <w:rPr>
          <w:rFonts w:eastAsia="Times New Roman" w:cs="Times New Roman"/>
          <w:color w:val="auto"/>
          <w:szCs w:val="24"/>
          <w:lang w:eastAsia="ar-SA"/>
        </w:rPr>
        <w:t>Pretendenta rīcībā ir nepieciešamās profesionālās, tehniskās un organizatoriskās spējas, personāls, finanšu resursi un infrastruktūra, kas nepieciešama iepirkuma realizācijai</w:t>
      </w:r>
      <w:bookmarkEnd w:id="30"/>
      <w:r>
        <w:rPr>
          <w:rFonts w:eastAsia="Times New Roman" w:cs="Times New Roman"/>
          <w:color w:val="auto"/>
          <w:szCs w:val="24"/>
          <w:lang w:eastAsia="ar-SA"/>
        </w:rPr>
        <w:t>;</w:t>
      </w:r>
      <w:bookmarkStart w:id="31" w:name="_Ref280089097"/>
    </w:p>
    <w:p>
      <w:pPr>
        <w:numPr>
          <w:ilvl w:val="0"/>
          <w:numId w:val="12"/>
        </w:numPr>
        <w:tabs>
          <w:tab w:val="clear" w:pos="425"/>
        </w:tabs>
        <w:suppressAutoHyphens/>
        <w:spacing w:after="0" w:line="240" w:lineRule="auto"/>
        <w:ind w:left="705" w:leftChars="0" w:firstLine="15" w:firstLineChars="0"/>
        <w:jc w:val="both"/>
        <w:rPr>
          <w:rFonts w:eastAsia="Times New Roman" w:cs="Times New Roman"/>
          <w:color w:val="auto"/>
          <w:szCs w:val="24"/>
          <w:lang w:eastAsia="ar-SA"/>
        </w:rPr>
      </w:pPr>
      <w:r>
        <w:rPr>
          <w:rFonts w:eastAsia="Times New Roman" w:cs="Times New Roman"/>
          <w:color w:val="auto"/>
          <w:szCs w:val="24"/>
          <w:lang w:eastAsia="ar-SA"/>
        </w:rPr>
        <w:t xml:space="preserve">Pretendenta gada finanšu vidējais apgrozījums pēdējo </w:t>
      </w:r>
      <w:r>
        <w:rPr>
          <w:rFonts w:hint="default" w:eastAsia="Times New Roman" w:cs="Times New Roman"/>
          <w:color w:val="auto"/>
          <w:szCs w:val="24"/>
          <w:lang w:eastAsia="ar-SA"/>
        </w:rPr>
        <w:t>trīs</w:t>
      </w:r>
      <w:r>
        <w:rPr>
          <w:rFonts w:eastAsia="Times New Roman" w:cs="Times New Roman"/>
          <w:color w:val="auto"/>
          <w:szCs w:val="24"/>
          <w:lang w:eastAsia="ar-SA"/>
        </w:rPr>
        <w:t xml:space="preserve"> gadu (t.i. 201</w:t>
      </w:r>
      <w:r>
        <w:rPr>
          <w:rFonts w:hint="default" w:eastAsia="Times New Roman" w:cs="Times New Roman"/>
          <w:color w:val="auto"/>
          <w:szCs w:val="24"/>
          <w:lang w:eastAsia="ar-SA"/>
        </w:rPr>
        <w:t>7</w:t>
      </w:r>
      <w:r>
        <w:rPr>
          <w:rFonts w:eastAsia="Times New Roman" w:cs="Times New Roman"/>
          <w:color w:val="auto"/>
          <w:szCs w:val="24"/>
          <w:lang w:eastAsia="ar-SA"/>
        </w:rPr>
        <w:t>.</w:t>
      </w:r>
      <w:r>
        <w:rPr>
          <w:rFonts w:hint="default" w:eastAsia="Times New Roman" w:cs="Times New Roman"/>
          <w:color w:val="auto"/>
          <w:szCs w:val="24"/>
          <w:lang w:eastAsia="ar-SA"/>
        </w:rPr>
        <w:t>,</w:t>
      </w:r>
      <w:r>
        <w:rPr>
          <w:rFonts w:eastAsia="Times New Roman" w:cs="Times New Roman"/>
          <w:color w:val="auto"/>
          <w:szCs w:val="24"/>
          <w:lang w:eastAsia="ar-SA"/>
        </w:rPr>
        <w:t xml:space="preserve"> 201</w:t>
      </w:r>
      <w:r>
        <w:rPr>
          <w:rFonts w:hint="default" w:eastAsia="Times New Roman" w:cs="Times New Roman"/>
          <w:color w:val="auto"/>
          <w:szCs w:val="24"/>
          <w:lang w:eastAsia="ar-SA"/>
        </w:rPr>
        <w:t>8</w:t>
      </w:r>
      <w:r>
        <w:rPr>
          <w:rFonts w:eastAsia="Times New Roman" w:cs="Times New Roman"/>
          <w:color w:val="auto"/>
          <w:szCs w:val="24"/>
          <w:lang w:eastAsia="ar-SA"/>
        </w:rPr>
        <w:t>.</w:t>
      </w:r>
      <w:r>
        <w:rPr>
          <w:rFonts w:hint="default" w:eastAsia="Times New Roman" w:cs="Times New Roman"/>
          <w:color w:val="auto"/>
          <w:szCs w:val="24"/>
          <w:lang w:eastAsia="ar-SA"/>
        </w:rPr>
        <w:t xml:space="preserve"> un 2019. </w:t>
      </w:r>
      <w:r>
        <w:rPr>
          <w:rFonts w:eastAsia="Times New Roman" w:cs="Times New Roman"/>
          <w:color w:val="auto"/>
          <w:szCs w:val="24"/>
          <w:lang w:eastAsia="ar-SA"/>
        </w:rPr>
        <w:t>gadā) laikā ir ne mazāks kā piedāvātā kopējā līgumcen</w:t>
      </w:r>
      <w:bookmarkEnd w:id="31"/>
      <w:r>
        <w:rPr>
          <w:rFonts w:eastAsia="Times New Roman" w:cs="Times New Roman"/>
          <w:color w:val="auto"/>
          <w:szCs w:val="24"/>
          <w:lang w:eastAsia="ar-SA"/>
        </w:rPr>
        <w:t>a;</w:t>
      </w:r>
    </w:p>
    <w:p>
      <w:pPr>
        <w:numPr>
          <w:ilvl w:val="0"/>
          <w:numId w:val="12"/>
        </w:numPr>
        <w:tabs>
          <w:tab w:val="clear" w:pos="425"/>
        </w:tabs>
        <w:suppressAutoHyphens/>
        <w:spacing w:after="0" w:line="240" w:lineRule="auto"/>
        <w:ind w:left="705" w:leftChars="0" w:firstLine="15" w:firstLineChars="0"/>
        <w:jc w:val="both"/>
        <w:rPr>
          <w:rFonts w:eastAsia="Times New Roman" w:cs="Times New Roman"/>
          <w:color w:val="auto"/>
          <w:szCs w:val="24"/>
          <w:lang w:eastAsia="ar-SA"/>
        </w:rPr>
      </w:pPr>
      <w:r>
        <w:rPr>
          <w:rFonts w:eastAsia="Times New Roman" w:cs="Times New Roman"/>
          <w:color w:val="auto"/>
          <w:szCs w:val="24"/>
          <w:lang w:eastAsia="ar-SA"/>
        </w:rPr>
        <w:t>Pretendents ir realizējis vismaz 3 (trīs) iepirkuma priekšmetam līdzīgus projektus;</w:t>
      </w:r>
    </w:p>
    <w:p>
      <w:pPr>
        <w:numPr>
          <w:ilvl w:val="0"/>
          <w:numId w:val="12"/>
        </w:numPr>
        <w:tabs>
          <w:tab w:val="clear" w:pos="425"/>
        </w:tabs>
        <w:suppressAutoHyphens/>
        <w:spacing w:after="0" w:line="240" w:lineRule="auto"/>
        <w:ind w:left="705" w:leftChars="0" w:firstLine="15" w:firstLineChars="0"/>
        <w:jc w:val="both"/>
        <w:rPr>
          <w:color w:val="auto"/>
        </w:rPr>
      </w:pPr>
      <w:r>
        <w:rPr>
          <w:rFonts w:eastAsia="Times New Roman" w:cs="Times New Roman"/>
          <w:color w:val="auto"/>
          <w:szCs w:val="24"/>
          <w:lang w:eastAsia="ar-SA"/>
        </w:rPr>
        <w:t>Uz pretendentu neattiecas neviens no Publisko iepirkumu likuma 9.panta astotajā daļā noteiktajiem izslēgšanas kritērijiem.</w:t>
      </w:r>
    </w:p>
    <w:p>
      <w:pPr>
        <w:numPr>
          <w:ilvl w:val="0"/>
          <w:numId w:val="12"/>
        </w:numPr>
        <w:tabs>
          <w:tab w:val="clear" w:pos="425"/>
        </w:tabs>
        <w:suppressAutoHyphens/>
        <w:spacing w:after="0" w:line="240" w:lineRule="auto"/>
        <w:ind w:left="705" w:leftChars="0" w:firstLine="15" w:firstLineChars="0"/>
        <w:jc w:val="both"/>
        <w:rPr>
          <w:color w:val="auto"/>
        </w:rPr>
      </w:pPr>
      <w:r>
        <w:rPr>
          <w:color w:val="auto"/>
        </w:rPr>
        <w:t xml:space="preserve">Pretendenta pieteikums (nolikuma </w:t>
      </w:r>
      <w:r>
        <w:rPr>
          <w:rFonts w:hint="default"/>
          <w:color w:val="auto"/>
        </w:rPr>
        <w:t>1</w:t>
      </w:r>
      <w:r>
        <w:rPr>
          <w:color w:val="auto"/>
        </w:rPr>
        <w:t>.pielikums), kas jāparaksta pretendenta pārstāvim ar pārstāvības tiesībām vai tā pilnvarotai personai</w:t>
      </w:r>
      <w:r>
        <w:rPr>
          <w:rFonts w:hint="default"/>
          <w:color w:val="auto"/>
        </w:rPr>
        <w:t>;</w:t>
      </w:r>
    </w:p>
    <w:p>
      <w:pPr>
        <w:numPr>
          <w:ilvl w:val="0"/>
          <w:numId w:val="12"/>
        </w:numPr>
        <w:tabs>
          <w:tab w:val="clear" w:pos="425"/>
        </w:tabs>
        <w:suppressAutoHyphens/>
        <w:spacing w:after="0" w:line="240" w:lineRule="auto"/>
        <w:ind w:left="705" w:leftChars="0" w:firstLine="15" w:firstLineChars="0"/>
        <w:jc w:val="both"/>
        <w:rPr>
          <w:color w:val="auto"/>
        </w:rPr>
      </w:pPr>
      <w:r>
        <w:rPr>
          <w:color w:val="auto"/>
        </w:rPr>
        <w:t>Pretendenta pārstāvja ar pārstāvības tiesībām izdota pilnvara (oriģināls vai apliecināta kopija) citai personai parakstīt pieteikumu un/vai iepirkuma līgumu, ja tā atšķiras no Latvijas Republikas Uzņēmumu reģistrā norādīta.</w:t>
      </w:r>
    </w:p>
    <w:p>
      <w:pPr>
        <w:numPr>
          <w:ilvl w:val="0"/>
          <w:numId w:val="12"/>
        </w:numPr>
        <w:tabs>
          <w:tab w:val="clear" w:pos="425"/>
        </w:tabs>
        <w:suppressAutoHyphens/>
        <w:spacing w:after="0" w:line="240" w:lineRule="auto"/>
        <w:ind w:left="705" w:leftChars="0" w:firstLine="15" w:firstLineChars="0"/>
        <w:jc w:val="both"/>
        <w:rPr>
          <w:color w:val="auto"/>
        </w:rPr>
      </w:pPr>
      <w:r>
        <w:rPr>
          <w:color w:val="auto"/>
        </w:rPr>
        <w:t>Ja pretendents ir piegādātāju apvienība un sabiedrības līgumā nav atrunātas pārstāvības tiesības, pieteikuma oriģināls jāparaksta katras personas, kas iekļauta piegādātāju apvienībā, pārstāvim ar pārstāvības tiesībām</w:t>
      </w:r>
      <w:r>
        <w:rPr>
          <w:rFonts w:hint="default"/>
          <w:color w:val="auto"/>
        </w:rPr>
        <w:t>.</w:t>
      </w:r>
    </w:p>
    <w:p>
      <w:pPr>
        <w:numPr>
          <w:ilvl w:val="0"/>
          <w:numId w:val="12"/>
        </w:numPr>
        <w:tabs>
          <w:tab w:val="clear" w:pos="425"/>
        </w:tabs>
        <w:suppressAutoHyphens/>
        <w:spacing w:after="0" w:line="240" w:lineRule="auto"/>
        <w:ind w:left="705" w:leftChars="0" w:firstLine="15" w:firstLineChars="0"/>
        <w:jc w:val="both"/>
        <w:rPr>
          <w:color w:val="auto"/>
        </w:rPr>
      </w:pPr>
      <w:r>
        <w:rPr>
          <w:color w:val="auto"/>
        </w:rPr>
        <w:t>Pretendenta, kas reģistrēts Latvijas Republikas Uzņēmumu reģistrā, reģistrācijas faktu komisija pārbaudīs publiskajās datu bāzēs.</w:t>
      </w:r>
    </w:p>
    <w:p>
      <w:pPr>
        <w:numPr>
          <w:ilvl w:val="0"/>
          <w:numId w:val="12"/>
        </w:numPr>
        <w:tabs>
          <w:tab w:val="clear" w:pos="425"/>
        </w:tabs>
        <w:suppressAutoHyphens/>
        <w:spacing w:after="0" w:line="240" w:lineRule="auto"/>
        <w:ind w:left="705" w:leftChars="0" w:firstLine="15" w:firstLineChars="0"/>
        <w:jc w:val="both"/>
        <w:rPr>
          <w:rFonts w:ascii="Times New Roman" w:hAnsi="Times New Roman" w:cs="Times New Roman"/>
          <w:color w:val="auto"/>
          <w:sz w:val="24"/>
          <w:szCs w:val="24"/>
        </w:rPr>
      </w:pPr>
      <w:r>
        <w:rPr>
          <w:color w:val="auto"/>
        </w:rPr>
        <w:t>Ja pretendents ir reģistrēts ārvalstīs, tad pretendents iesniedz līdzvērtīgas komercdarbību reģistrējošas iestādes ārvalstīs izsniegtu komersanta reģistrācijas apliecības kopiju vai citas ārvalstu institūcijas izsniegtu izziņas kopiju.</w:t>
      </w:r>
    </w:p>
    <w:p>
      <w:pPr>
        <w:numPr>
          <w:ilvl w:val="0"/>
          <w:numId w:val="12"/>
        </w:numPr>
        <w:tabs>
          <w:tab w:val="clear" w:pos="425"/>
        </w:tabs>
        <w:suppressAutoHyphens/>
        <w:spacing w:after="0" w:line="240" w:lineRule="auto"/>
        <w:ind w:left="705" w:leftChars="0" w:firstLine="15" w:firstLineChars="0"/>
        <w:jc w:val="both"/>
        <w:rPr>
          <w:rFonts w:ascii="Times New Roman" w:hAnsi="Times New Roman" w:cs="Times New Roman"/>
          <w:color w:val="auto"/>
          <w:sz w:val="24"/>
          <w:szCs w:val="24"/>
        </w:rPr>
      </w:pPr>
      <w:r>
        <w:rPr>
          <w:bCs/>
          <w:color w:val="auto"/>
          <w:sz w:val="24"/>
          <w:szCs w:val="24"/>
        </w:rPr>
        <w:t xml:space="preserve"> </w:t>
      </w:r>
      <w:r>
        <w:rPr>
          <w:rFonts w:eastAsia="Times-Roman" w:cs="Times-Roman"/>
          <w:color w:val="auto"/>
          <w:sz w:val="24"/>
          <w:szCs w:val="24"/>
        </w:rPr>
        <w:t>LR akreditētas institūcijas izsniegta vismaz 2 (divas) elektromontiera sertifikāta kopijas, kas apliecina, ka elektromontieris ir apmācīts un tiesīgs veikt elektroietaišu līdz 1kV spriegumu profilaktiskos mērījumus un pārbaudes, t.sk. izolācijas pretestības mērījumus, cilpas „fāze-nulle” pretestības mērījumus, zemējumietaises pretestības mērījumus, ķēdes starp zemējumietaisi un zemējamo objektu pārbaudi</w:t>
      </w:r>
      <w:r>
        <w:rPr>
          <w:rFonts w:hint="default" w:eastAsia="Times-Roman" w:cs="Times-Roman"/>
          <w:color w:val="auto"/>
          <w:sz w:val="24"/>
          <w:szCs w:val="24"/>
        </w:rPr>
        <w:t>,</w:t>
      </w:r>
    </w:p>
    <w:p>
      <w:pPr>
        <w:numPr>
          <w:ilvl w:val="0"/>
          <w:numId w:val="12"/>
        </w:numPr>
        <w:tabs>
          <w:tab w:val="clear" w:pos="425"/>
        </w:tabs>
        <w:suppressAutoHyphens/>
        <w:spacing w:after="0" w:line="240" w:lineRule="auto"/>
        <w:ind w:left="705" w:leftChars="0" w:firstLine="15" w:firstLineChars="0"/>
        <w:jc w:val="both"/>
        <w:rPr>
          <w:rFonts w:ascii="Times New Roman" w:hAnsi="Times New Roman" w:cs="Times New Roman"/>
          <w:color w:val="auto"/>
          <w:sz w:val="24"/>
          <w:szCs w:val="24"/>
        </w:rPr>
      </w:pPr>
      <w:r>
        <w:rPr>
          <w:rFonts w:ascii="Times New Roman" w:hAnsi="Times New Roman" w:cs="Times New Roman"/>
          <w:color w:val="auto"/>
          <w:sz w:val="24"/>
          <w:szCs w:val="24"/>
        </w:rPr>
        <w:t>Pretendentam jāpievieno apliecinājums, ka viņa īpašumā ir šādi mērinstrumenti un ierīces:</w:t>
      </w:r>
    </w:p>
    <w:p>
      <w:pPr>
        <w:pStyle w:val="5"/>
        <w:numPr>
          <w:ilvl w:val="2"/>
          <w:numId w:val="9"/>
        </w:numPr>
        <w:tabs>
          <w:tab w:val="left" w:pos="316"/>
          <w:tab w:val="clear" w:pos="916"/>
          <w:tab w:val="clear" w:pos="3664"/>
        </w:tabs>
        <w:ind w:left="1200" w:leftChars="500" w:firstLine="0" w:firstLineChars="0"/>
        <w:jc w:val="both"/>
        <w:rPr>
          <w:rFonts w:ascii="Times New Roman" w:hAnsi="Times New Roman" w:cs="Times New Roman"/>
          <w:color w:val="auto"/>
          <w:sz w:val="24"/>
          <w:szCs w:val="24"/>
        </w:rPr>
      </w:pPr>
      <w:r>
        <w:rPr>
          <w:rFonts w:ascii="Times New Roman" w:hAnsi="Times New Roman" w:cs="Times New Roman"/>
          <w:color w:val="auto"/>
          <w:sz w:val="24"/>
          <w:szCs w:val="24"/>
        </w:rPr>
        <w:t>Termokamera ar spēkā esošu kalibrēšanas sertifikātu un funkciju vienlaicīgi veikt gan termogrāfisko, gan standarta fotogrāfijas;</w:t>
      </w:r>
    </w:p>
    <w:p>
      <w:pPr>
        <w:pStyle w:val="5"/>
        <w:numPr>
          <w:ilvl w:val="2"/>
          <w:numId w:val="9"/>
        </w:numPr>
        <w:tabs>
          <w:tab w:val="left" w:pos="316"/>
          <w:tab w:val="clear" w:pos="916"/>
          <w:tab w:val="clear" w:pos="3664"/>
        </w:tabs>
        <w:ind w:left="1200" w:leftChars="500" w:firstLine="0" w:firstLineChars="0"/>
        <w:jc w:val="both"/>
        <w:rPr>
          <w:rFonts w:ascii="Times New Roman" w:hAnsi="Times New Roman" w:cs="Times New Roman"/>
          <w:color w:val="auto"/>
          <w:sz w:val="24"/>
          <w:szCs w:val="24"/>
        </w:rPr>
      </w:pPr>
      <w:r>
        <w:rPr>
          <w:rFonts w:ascii="Times New Roman" w:hAnsi="Times New Roman" w:cs="Times New Roman"/>
          <w:color w:val="auto"/>
          <w:sz w:val="24"/>
          <w:szCs w:val="24"/>
        </w:rPr>
        <w:t>Zemējuma nepārtrauktības mērīšanas iekārta ar spēkā esošu kalibrēšanas sertifikātu;</w:t>
      </w:r>
    </w:p>
    <w:p>
      <w:pPr>
        <w:pStyle w:val="5"/>
        <w:numPr>
          <w:ilvl w:val="2"/>
          <w:numId w:val="9"/>
        </w:numPr>
        <w:tabs>
          <w:tab w:val="left" w:pos="316"/>
          <w:tab w:val="clear" w:pos="916"/>
          <w:tab w:val="clear" w:pos="3664"/>
        </w:tabs>
        <w:ind w:left="1200" w:leftChars="500" w:firstLine="0" w:firstLineChars="0"/>
        <w:jc w:val="both"/>
        <w:rPr>
          <w:rFonts w:ascii="Times New Roman" w:hAnsi="Times New Roman" w:cs="Times New Roman"/>
          <w:b w:val="0"/>
          <w:bCs w:val="0"/>
          <w:color w:val="auto"/>
          <w:sz w:val="24"/>
          <w:szCs w:val="24"/>
        </w:rPr>
      </w:pPr>
      <w:r>
        <w:rPr>
          <w:rFonts w:hint="default" w:ascii="Times New Roman" w:hAnsi="Times New Roman" w:cs="Times New Roman"/>
          <w:b w:val="0"/>
          <w:bCs w:val="0"/>
          <w:color w:val="auto"/>
          <w:sz w:val="24"/>
          <w:szCs w:val="24"/>
        </w:rPr>
        <w:t xml:space="preserve">Izolācijas pretestības </w:t>
      </w:r>
      <w:r>
        <w:rPr>
          <w:rFonts w:ascii="Times New Roman" w:hAnsi="Times New Roman" w:cs="Times New Roman"/>
          <w:b w:val="0"/>
          <w:bCs w:val="0"/>
          <w:color w:val="auto"/>
          <w:sz w:val="24"/>
          <w:szCs w:val="24"/>
        </w:rPr>
        <w:t>mērītājs ar spēkā esošu kalibrēšanas sertifikātu</w:t>
      </w:r>
      <w:r>
        <w:rPr>
          <w:rFonts w:hint="default" w:ascii="Times New Roman" w:hAnsi="Times New Roman" w:cs="Times New Roman"/>
          <w:b w:val="0"/>
          <w:bCs w:val="0"/>
          <w:color w:val="auto"/>
          <w:sz w:val="24"/>
          <w:szCs w:val="24"/>
        </w:rPr>
        <w:t xml:space="preserve">; </w:t>
      </w:r>
    </w:p>
    <w:p>
      <w:pPr>
        <w:pStyle w:val="5"/>
        <w:numPr>
          <w:ilvl w:val="2"/>
          <w:numId w:val="9"/>
        </w:numPr>
        <w:tabs>
          <w:tab w:val="left" w:pos="32"/>
          <w:tab w:val="left" w:pos="458"/>
          <w:tab w:val="clear" w:pos="916"/>
          <w:tab w:val="clear" w:pos="3664"/>
        </w:tabs>
        <w:ind w:left="1200" w:leftChars="500" w:firstLine="0" w:firstLineChars="0"/>
        <w:jc w:val="both"/>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Zemējuma kontūra pretestības mērītājs;</w:t>
      </w:r>
    </w:p>
    <w:p>
      <w:pPr>
        <w:pStyle w:val="5"/>
        <w:numPr>
          <w:ilvl w:val="2"/>
          <w:numId w:val="9"/>
        </w:numPr>
        <w:tabs>
          <w:tab w:val="left" w:pos="32"/>
          <w:tab w:val="left" w:pos="458"/>
          <w:tab w:val="clear" w:pos="916"/>
          <w:tab w:val="clear" w:pos="3664"/>
        </w:tabs>
        <w:ind w:left="1200" w:leftChars="500" w:firstLine="0" w:firstLineChars="0"/>
        <w:jc w:val="both"/>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Palīgiekārtas, spējīgas noslogot tīklu veicot kontaktsavienojumu pārbaudi ar termokameru.</w:t>
      </w:r>
    </w:p>
    <w:p>
      <w:pPr>
        <w:pStyle w:val="5"/>
        <w:numPr>
          <w:ilvl w:val="2"/>
          <w:numId w:val="9"/>
        </w:numPr>
        <w:tabs>
          <w:tab w:val="left" w:pos="32"/>
          <w:tab w:val="left" w:pos="458"/>
          <w:tab w:val="clear" w:pos="916"/>
          <w:tab w:val="clear" w:pos="3664"/>
        </w:tabs>
        <w:ind w:left="1200" w:leftChars="500" w:firstLine="0" w:firstLineChars="0"/>
        <w:jc w:val="both"/>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Ir atļauts lai pozīcijas 2.,3.,4. būtu apvienoti viena instrumentā.</w:t>
      </w:r>
    </w:p>
    <w:p>
      <w:pPr>
        <w:numPr>
          <w:ilvl w:val="0"/>
          <w:numId w:val="13"/>
        </w:numPr>
        <w:tabs>
          <w:tab w:val="clear" w:pos="425"/>
        </w:tabs>
        <w:suppressAutoHyphens/>
        <w:spacing w:after="0" w:line="240" w:lineRule="auto"/>
        <w:ind w:left="705" w:leftChars="0" w:firstLine="15" w:firstLineChars="0"/>
        <w:jc w:val="both"/>
        <w:rPr>
          <w:rFonts w:eastAsia="Times New Roman" w:cs="Times New Roman"/>
          <w:b w:val="0"/>
          <w:bCs w:val="0"/>
          <w:color w:val="auto"/>
          <w:szCs w:val="24"/>
          <w:lang w:eastAsia="ar-SA"/>
        </w:rPr>
      </w:pPr>
      <w:r>
        <w:rPr>
          <w:rFonts w:eastAsia="Times-Roman" w:cs="Times-Roman"/>
          <w:b w:val="0"/>
          <w:bCs w:val="0"/>
          <w:color w:val="auto"/>
        </w:rPr>
        <w:t xml:space="preserve">Pretendentam jāpievieno Objektu saraksts, kas apliecina, ka viņam ir vismaz 3 (trīs) gadu pieredze </w:t>
      </w:r>
      <w:r>
        <w:rPr>
          <w:b w:val="0"/>
          <w:bCs w:val="0"/>
          <w:color w:val="auto"/>
        </w:rPr>
        <w:t xml:space="preserve">zemējuma un zibensaizsardzības ierīču pārbaudes un elektroinstalācijas pretestības mērījumu veikšanā (pēc apjoma, EUR), </w:t>
      </w:r>
      <w:r>
        <w:rPr>
          <w:rFonts w:eastAsia="Times-Roman" w:cs="Times-Roman"/>
          <w:b w:val="0"/>
          <w:bCs w:val="0"/>
          <w:color w:val="auto"/>
        </w:rPr>
        <w:t>pievienojot vismaz 1 (vienu) pozitīvu klienta atsauksmi</w:t>
      </w:r>
      <w:r>
        <w:rPr>
          <w:rFonts w:hint="default" w:eastAsia="Times-Roman" w:cs="Times-Roman"/>
          <w:b w:val="0"/>
          <w:bCs w:val="0"/>
          <w:color w:val="auto"/>
        </w:rPr>
        <w:t>.</w:t>
      </w:r>
    </w:p>
    <w:p>
      <w:pPr>
        <w:numPr>
          <w:ilvl w:val="0"/>
          <w:numId w:val="14"/>
        </w:numPr>
        <w:suppressAutoHyphens/>
        <w:spacing w:after="0" w:line="240" w:lineRule="auto"/>
        <w:ind w:left="425" w:leftChars="0" w:hanging="425" w:firstLineChars="0"/>
        <w:contextualSpacing/>
        <w:jc w:val="both"/>
        <w:rPr>
          <w:rFonts w:eastAsia="Times New Roman" w:cs="Times New Roman"/>
          <w:b w:val="0"/>
          <w:bCs w:val="0"/>
          <w:color w:val="auto"/>
          <w:szCs w:val="20"/>
          <w:highlight w:val="none"/>
          <w:shd w:val="clear" w:color="auto" w:fill="auto"/>
        </w:rPr>
      </w:pPr>
      <w:r>
        <w:rPr>
          <w:rFonts w:eastAsia="Times New Roman" w:cs="Times New Roman"/>
          <w:b w:val="0"/>
          <w:bCs w:val="0"/>
          <w:color w:val="auto"/>
          <w:szCs w:val="20"/>
          <w:highlight w:val="none"/>
          <w:shd w:val="clear" w:color="auto" w:fill="auto"/>
        </w:rPr>
        <w:t>Pretendentam ir jāiesniedz šādi dokumenti:</w:t>
      </w:r>
    </w:p>
    <w:p>
      <w:pPr>
        <w:numPr>
          <w:ilvl w:val="0"/>
          <w:numId w:val="15"/>
        </w:numPr>
        <w:tabs>
          <w:tab w:val="clear" w:pos="425"/>
        </w:tabs>
        <w:suppressAutoHyphens/>
        <w:spacing w:after="0" w:line="240" w:lineRule="auto"/>
        <w:ind w:left="705" w:leftChars="0" w:firstLine="15" w:firstLineChars="0"/>
        <w:contextualSpacing/>
        <w:jc w:val="both"/>
        <w:rPr>
          <w:rFonts w:eastAsia="Times New Roman" w:cs="Times New Roman"/>
          <w:b w:val="0"/>
          <w:bCs w:val="0"/>
          <w:color w:val="auto"/>
          <w:szCs w:val="20"/>
        </w:rPr>
      </w:pPr>
      <w:r>
        <w:rPr>
          <w:rFonts w:eastAsia="Times New Roman" w:cs="Times New Roman"/>
          <w:b w:val="0"/>
          <w:bCs w:val="0"/>
          <w:color w:val="auto"/>
          <w:szCs w:val="20"/>
          <w:highlight w:val="none"/>
          <w:shd w:val="clear" w:color="auto" w:fill="auto"/>
        </w:rPr>
        <w:t xml:space="preserve">Pretendenta aizpildīts pieteikums dalībai iepirkumā, atbilstoši šā nolikuma </w:t>
      </w:r>
      <w:r>
        <w:rPr>
          <w:rFonts w:eastAsia="Times New Roman" w:cs="Times New Roman"/>
          <w:b w:val="0"/>
          <w:bCs w:val="0"/>
          <w:color w:val="auto"/>
          <w:szCs w:val="20"/>
        </w:rPr>
        <w:t>pielikumam Nr.1;</w:t>
      </w:r>
    </w:p>
    <w:p>
      <w:pPr>
        <w:numPr>
          <w:ilvl w:val="0"/>
          <w:numId w:val="15"/>
        </w:numPr>
        <w:tabs>
          <w:tab w:val="clear" w:pos="425"/>
        </w:tabs>
        <w:suppressAutoHyphens/>
        <w:spacing w:after="0" w:line="240" w:lineRule="auto"/>
        <w:ind w:left="705" w:leftChars="0" w:firstLine="15" w:firstLineChars="0"/>
        <w:contextualSpacing/>
        <w:jc w:val="both"/>
        <w:rPr>
          <w:rFonts w:eastAsia="Times New Roman" w:cs="Times New Roman"/>
          <w:b w:val="0"/>
          <w:bCs w:val="0"/>
          <w:color w:val="auto"/>
          <w:szCs w:val="20"/>
        </w:rPr>
      </w:pPr>
      <w:r>
        <w:rPr>
          <w:rFonts w:eastAsia="Times New Roman" w:cs="Times New Roman"/>
          <w:b w:val="0"/>
          <w:bCs w:val="0"/>
          <w:color w:val="auto"/>
          <w:szCs w:val="20"/>
        </w:rPr>
        <w:t>Saskaņā ar šā nolikuma pielikumu Nr.2 aizpildīts „Finanšu piedāvājums”;</w:t>
      </w:r>
    </w:p>
    <w:p>
      <w:pPr>
        <w:numPr>
          <w:ilvl w:val="0"/>
          <w:numId w:val="15"/>
        </w:numPr>
        <w:tabs>
          <w:tab w:val="clear" w:pos="425"/>
        </w:tabs>
        <w:suppressAutoHyphens/>
        <w:spacing w:after="0" w:line="240" w:lineRule="auto"/>
        <w:ind w:left="705" w:leftChars="0" w:firstLine="15" w:firstLineChars="0"/>
        <w:contextualSpacing/>
        <w:jc w:val="both"/>
        <w:rPr>
          <w:rFonts w:eastAsia="Times New Roman" w:cs="Times New Roman"/>
          <w:b w:val="0"/>
          <w:bCs w:val="0"/>
          <w:color w:val="auto"/>
          <w:szCs w:val="20"/>
        </w:rPr>
      </w:pPr>
      <w:r>
        <w:rPr>
          <w:rFonts w:eastAsia="Times New Roman" w:cs="Times New Roman"/>
          <w:b w:val="0"/>
          <w:bCs w:val="0"/>
          <w:color w:val="auto"/>
          <w:szCs w:val="20"/>
        </w:rPr>
        <w:t>Saskaņā ar šā nolikuma pielikumu Nr.</w:t>
      </w:r>
      <w:r>
        <w:rPr>
          <w:rFonts w:hint="default" w:eastAsia="Times New Roman" w:cs="Times New Roman"/>
          <w:b w:val="0"/>
          <w:bCs w:val="0"/>
          <w:color w:val="auto"/>
          <w:szCs w:val="20"/>
        </w:rPr>
        <w:t>3</w:t>
      </w:r>
      <w:r>
        <w:rPr>
          <w:rFonts w:eastAsia="Times New Roman" w:cs="Times New Roman"/>
          <w:b w:val="0"/>
          <w:bCs w:val="0"/>
          <w:color w:val="auto"/>
          <w:szCs w:val="20"/>
        </w:rPr>
        <w:t xml:space="preserve"> aizpildīts „</w:t>
      </w:r>
      <w:r>
        <w:rPr>
          <w:rFonts w:hint="default" w:eastAsia="Times New Roman" w:cs="Times New Roman"/>
          <w:b w:val="0"/>
          <w:bCs w:val="0"/>
          <w:color w:val="auto"/>
          <w:szCs w:val="20"/>
        </w:rPr>
        <w:t>Pretendenta finanšu apgrozījums</w:t>
      </w:r>
      <w:r>
        <w:rPr>
          <w:rFonts w:eastAsia="Times New Roman" w:cs="Times New Roman"/>
          <w:b w:val="0"/>
          <w:bCs w:val="0"/>
          <w:color w:val="auto"/>
          <w:szCs w:val="20"/>
        </w:rPr>
        <w:t>”</w:t>
      </w:r>
      <w:r>
        <w:rPr>
          <w:rFonts w:hint="default" w:eastAsia="Times New Roman" w:cs="Times New Roman"/>
          <w:b w:val="0"/>
          <w:bCs w:val="0"/>
          <w:color w:val="auto"/>
          <w:szCs w:val="20"/>
        </w:rPr>
        <w:t>;</w:t>
      </w:r>
    </w:p>
    <w:p>
      <w:pPr>
        <w:numPr>
          <w:ilvl w:val="0"/>
          <w:numId w:val="15"/>
        </w:numPr>
        <w:tabs>
          <w:tab w:val="clear" w:pos="425"/>
        </w:tabs>
        <w:suppressAutoHyphens/>
        <w:spacing w:after="0" w:line="240" w:lineRule="auto"/>
        <w:ind w:left="705" w:leftChars="0" w:firstLine="15" w:firstLineChars="0"/>
        <w:contextualSpacing/>
        <w:jc w:val="both"/>
        <w:rPr>
          <w:rFonts w:eastAsia="Times New Roman" w:cs="Times New Roman"/>
          <w:b w:val="0"/>
          <w:bCs w:val="0"/>
          <w:color w:val="auto"/>
          <w:szCs w:val="20"/>
        </w:rPr>
      </w:pPr>
      <w:r>
        <w:rPr>
          <w:rFonts w:eastAsia="Times New Roman" w:cs="Times New Roman"/>
          <w:b w:val="0"/>
          <w:bCs w:val="0"/>
          <w:color w:val="auto"/>
          <w:szCs w:val="20"/>
        </w:rPr>
        <w:t>Saskaņā ar šā nolikuma pielikumu Nr.</w:t>
      </w:r>
      <w:r>
        <w:rPr>
          <w:rFonts w:hint="default" w:eastAsia="Times New Roman" w:cs="Times New Roman"/>
          <w:b w:val="0"/>
          <w:bCs w:val="0"/>
          <w:color w:val="auto"/>
          <w:szCs w:val="20"/>
        </w:rPr>
        <w:t>4</w:t>
      </w:r>
      <w:r>
        <w:rPr>
          <w:rFonts w:eastAsia="Times New Roman" w:cs="Times New Roman"/>
          <w:b w:val="0"/>
          <w:bCs w:val="0"/>
          <w:color w:val="auto"/>
          <w:szCs w:val="20"/>
        </w:rPr>
        <w:t xml:space="preserve"> aizpildīts „</w:t>
      </w:r>
      <w:r>
        <w:rPr>
          <w:rFonts w:hint="default" w:eastAsia="Times New Roman" w:cs="Times New Roman"/>
          <w:b w:val="0"/>
          <w:bCs w:val="0"/>
          <w:color w:val="auto"/>
          <w:szCs w:val="20"/>
        </w:rPr>
        <w:t>Pretendenta pieredzes apliecinājums</w:t>
      </w:r>
      <w:r>
        <w:rPr>
          <w:rFonts w:eastAsia="Times New Roman" w:cs="Times New Roman"/>
          <w:b w:val="0"/>
          <w:bCs w:val="0"/>
          <w:color w:val="auto"/>
          <w:szCs w:val="20"/>
        </w:rPr>
        <w:t>”</w:t>
      </w:r>
      <w:r>
        <w:rPr>
          <w:rFonts w:hint="default" w:eastAsia="Times New Roman" w:cs="Times New Roman"/>
          <w:b w:val="0"/>
          <w:bCs w:val="0"/>
          <w:color w:val="auto"/>
          <w:szCs w:val="20"/>
        </w:rPr>
        <w:t>;</w:t>
      </w:r>
    </w:p>
    <w:p>
      <w:pPr>
        <w:numPr>
          <w:ilvl w:val="0"/>
          <w:numId w:val="15"/>
        </w:numPr>
        <w:tabs>
          <w:tab w:val="clear" w:pos="425"/>
        </w:tabs>
        <w:suppressAutoHyphens/>
        <w:spacing w:after="0" w:line="240" w:lineRule="auto"/>
        <w:ind w:left="705" w:leftChars="0" w:firstLine="15" w:firstLineChars="0"/>
        <w:contextualSpacing/>
        <w:jc w:val="both"/>
        <w:rPr>
          <w:rFonts w:eastAsia="Times New Roman" w:cs="Times New Roman"/>
          <w:b w:val="0"/>
          <w:bCs w:val="0"/>
          <w:color w:val="auto"/>
          <w:szCs w:val="20"/>
        </w:rPr>
      </w:pPr>
      <w:r>
        <w:rPr>
          <w:rFonts w:eastAsia="Times New Roman" w:cs="Times New Roman"/>
          <w:b w:val="0"/>
          <w:bCs w:val="0"/>
          <w:color w:val="auto"/>
          <w:szCs w:val="20"/>
        </w:rPr>
        <w:t>Atbilstoši šā nolikuma pielikuma Nr.</w:t>
      </w:r>
      <w:r>
        <w:rPr>
          <w:rFonts w:hint="default" w:eastAsia="Times New Roman" w:cs="Times New Roman"/>
          <w:b w:val="0"/>
          <w:bCs w:val="0"/>
          <w:color w:val="auto"/>
          <w:szCs w:val="20"/>
        </w:rPr>
        <w:t>5.1 un Nr.5.2.</w:t>
      </w:r>
      <w:r>
        <w:rPr>
          <w:rFonts w:eastAsia="Times New Roman" w:cs="Times New Roman"/>
          <w:b w:val="0"/>
          <w:bCs w:val="0"/>
          <w:color w:val="auto"/>
          <w:szCs w:val="20"/>
        </w:rPr>
        <w:t xml:space="preserve"> formai pretendenta aizpildīts Tehniskais piedāvājums.</w:t>
      </w:r>
    </w:p>
    <w:p>
      <w:pPr>
        <w:numPr>
          <w:ilvl w:val="0"/>
          <w:numId w:val="16"/>
        </w:numPr>
        <w:suppressAutoHyphens/>
        <w:spacing w:after="0" w:line="240" w:lineRule="auto"/>
        <w:ind w:left="425" w:leftChars="0" w:hanging="425" w:firstLineChars="0"/>
        <w:contextualSpacing/>
        <w:jc w:val="both"/>
        <w:rPr>
          <w:rFonts w:eastAsia="Times New Roman" w:cs="Times New Roman"/>
          <w:b w:val="0"/>
          <w:bCs w:val="0"/>
          <w:color w:val="auto"/>
          <w:szCs w:val="24"/>
        </w:rPr>
      </w:pPr>
      <w:r>
        <w:rPr>
          <w:rFonts w:eastAsia="Times-Roman" w:cs="Times-Roman"/>
          <w:b w:val="0"/>
          <w:bCs w:val="0"/>
          <w:color w:val="auto"/>
        </w:rPr>
        <w:t xml:space="preserve">Finanšu piedāvājums jāsagatavo atbilstoši iepirkuma </w:t>
      </w:r>
      <w:r>
        <w:rPr>
          <w:rFonts w:hint="default" w:eastAsia="Times-Roman" w:cs="Times-Roman"/>
          <w:b w:val="0"/>
          <w:bCs w:val="0"/>
          <w:color w:val="auto"/>
        </w:rPr>
        <w:t xml:space="preserve">Nolikuma </w:t>
      </w:r>
      <w:r>
        <w:rPr>
          <w:rFonts w:eastAsia="Times-Roman" w:cs="Times-Roman"/>
          <w:b w:val="0"/>
          <w:bCs w:val="0"/>
          <w:color w:val="auto"/>
        </w:rPr>
        <w:t>pielikumā Nr.</w:t>
      </w:r>
      <w:r>
        <w:rPr>
          <w:rFonts w:hint="default" w:eastAsia="Times-Roman" w:cs="Times-Roman"/>
          <w:b w:val="0"/>
          <w:bCs w:val="0"/>
          <w:color w:val="auto"/>
        </w:rPr>
        <w:t>2</w:t>
      </w:r>
      <w:r>
        <w:rPr>
          <w:rFonts w:eastAsia="Times-Roman" w:cs="Times-Roman"/>
          <w:b w:val="0"/>
          <w:bCs w:val="0"/>
          <w:color w:val="auto"/>
        </w:rPr>
        <w:t xml:space="preserve"> norādītajai formai un finanšu piedāvājumā visas izmaksas jānorāda eiro (EUR) ar ne vairāk kā 2 (divām) zīmēm aiz komata. Kopējā cena jānorāda bez PVN, kopējo cenu ar PVN un PVN norādot atsevišķi</w:t>
      </w:r>
      <w:r>
        <w:rPr>
          <w:b w:val="0"/>
          <w:bCs w:val="0"/>
          <w:color w:val="auto"/>
        </w:rPr>
        <w:t>.</w:t>
      </w:r>
      <w:r>
        <w:rPr>
          <w:rFonts w:hint="default"/>
          <w:b w:val="0"/>
          <w:bCs w:val="0"/>
          <w:color w:val="auto"/>
        </w:rPr>
        <w:t xml:space="preserve"> </w:t>
      </w:r>
      <w:r>
        <w:rPr>
          <w:b w:val="0"/>
          <w:bCs w:val="0"/>
          <w:color w:val="auto"/>
        </w:rPr>
        <w:t>Papi</w:t>
      </w:r>
      <w:r>
        <w:rPr>
          <w:color w:val="auto"/>
        </w:rPr>
        <w:t>ldus izmaksas, kas nav iekļautas un norādītas finanšu piedāvājumā, netiks ņemtas vērā, noslēdzot iepirkuma līgumu. Pasūtītājam ir tiesības samazināt iepirkuma apjomu gadījumā, ja izrādās, ka tam ir nepietiekami finanšu līdzekļi.</w:t>
      </w:r>
    </w:p>
    <w:p>
      <w:pPr>
        <w:numPr>
          <w:ilvl w:val="0"/>
          <w:numId w:val="16"/>
        </w:numPr>
        <w:suppressAutoHyphens/>
        <w:spacing w:after="0" w:line="240" w:lineRule="auto"/>
        <w:ind w:left="425" w:leftChars="0" w:hanging="425" w:firstLineChars="0"/>
        <w:contextualSpacing/>
        <w:jc w:val="both"/>
        <w:rPr>
          <w:b w:val="0"/>
          <w:bCs w:val="0"/>
          <w:color w:val="auto"/>
        </w:rPr>
      </w:pPr>
      <w:r>
        <w:rPr>
          <w:rFonts w:eastAsia="Times New Roman" w:cs="Times New Roman"/>
          <w:color w:val="auto"/>
          <w:szCs w:val="24"/>
        </w:rPr>
        <w:t xml:space="preserve">Iepirkuma nolikumā dotās formas ir jāaizpilda, bet tās nedrīkst pārsaukt, dzēst, papildināt vai kā citādi mainīt, izņemot gadījumu, kad iepirkuma procedūras sarakstes laikā iepirkumu komisija pasūtītāja mājaslapā ir publicējusi precizējumus. Tādā gadījumā, sagatavojot finanšu piedāvājumu, pretendentam ir pienākums aktualizēt vai </w:t>
      </w:r>
      <w:r>
        <w:rPr>
          <w:rFonts w:eastAsia="Times New Roman" w:cs="Times New Roman"/>
          <w:b w:val="0"/>
          <w:bCs w:val="0"/>
          <w:color w:val="auto"/>
          <w:szCs w:val="24"/>
        </w:rPr>
        <w:t>izmantot pasūtītāja mājaslapā publicēto aktualizēto iepirkuma nolikuma attiecīgo formu, ja tāda ir publicēta.</w:t>
      </w:r>
    </w:p>
    <w:p>
      <w:pPr>
        <w:numPr>
          <w:ilvl w:val="0"/>
          <w:numId w:val="16"/>
        </w:numPr>
        <w:suppressAutoHyphens/>
        <w:spacing w:after="0" w:line="240" w:lineRule="auto"/>
        <w:ind w:left="425" w:leftChars="0" w:hanging="425" w:firstLineChars="0"/>
        <w:contextualSpacing/>
        <w:jc w:val="both"/>
        <w:rPr>
          <w:b w:val="0"/>
          <w:bCs w:val="0"/>
          <w:color w:val="auto"/>
        </w:rPr>
      </w:pPr>
      <w:r>
        <w:rPr>
          <w:rFonts w:eastAsia="Times New Roman" w:cs="Times New Roman"/>
          <w:b w:val="0"/>
          <w:bCs w:val="0"/>
          <w:iCs/>
          <w:color w:val="auto"/>
          <w:szCs w:val="24"/>
        </w:rPr>
        <w:t xml:space="preserve">Pakalpojuma ietvaros paveiktajiem darbiem </w:t>
      </w:r>
      <w:r>
        <w:rPr>
          <w:rFonts w:hint="default" w:eastAsia="Times New Roman" w:cs="Times New Roman"/>
          <w:b w:val="0"/>
          <w:bCs w:val="0"/>
          <w:iCs/>
          <w:color w:val="auto"/>
          <w:szCs w:val="24"/>
        </w:rPr>
        <w:t>Pretendents</w:t>
      </w:r>
      <w:r>
        <w:rPr>
          <w:rFonts w:eastAsia="Times New Roman" w:cs="Times New Roman"/>
          <w:b w:val="0"/>
          <w:bCs w:val="0"/>
          <w:iCs/>
          <w:color w:val="auto"/>
          <w:szCs w:val="24"/>
        </w:rPr>
        <w:t xml:space="preserve"> dod </w:t>
      </w:r>
      <w:r>
        <w:rPr>
          <w:rFonts w:hint="default" w:eastAsia="Times New Roman" w:cs="Times New Roman"/>
          <w:b w:val="0"/>
          <w:bCs w:val="0"/>
          <w:iCs/>
          <w:color w:val="auto"/>
          <w:szCs w:val="24"/>
        </w:rPr>
        <w:t>60</w:t>
      </w:r>
      <w:r>
        <w:rPr>
          <w:rFonts w:eastAsia="Times New Roman" w:cs="Times New Roman"/>
          <w:b w:val="0"/>
          <w:bCs w:val="0"/>
          <w:iCs/>
          <w:color w:val="auto"/>
          <w:szCs w:val="24"/>
        </w:rPr>
        <w:t xml:space="preserve"> (</w:t>
      </w:r>
      <w:r>
        <w:rPr>
          <w:rFonts w:hint="default" w:eastAsia="Times New Roman" w:cs="Times New Roman"/>
          <w:b w:val="0"/>
          <w:bCs w:val="0"/>
          <w:iCs/>
          <w:color w:val="auto"/>
          <w:szCs w:val="24"/>
        </w:rPr>
        <w:t>sešdesmit</w:t>
      </w:r>
      <w:r>
        <w:rPr>
          <w:rFonts w:eastAsia="Times New Roman" w:cs="Times New Roman"/>
          <w:b w:val="0"/>
          <w:bCs w:val="0"/>
          <w:iCs/>
          <w:color w:val="auto"/>
          <w:szCs w:val="24"/>
        </w:rPr>
        <w:t>) mēnešu garantiju, skaitot no nodošanas – pieņemšanas akta parakstīšanas brīža</w:t>
      </w:r>
      <w:r>
        <w:rPr>
          <w:rFonts w:hint="default" w:eastAsia="Times New Roman" w:cs="Times New Roman"/>
          <w:b w:val="0"/>
          <w:bCs w:val="0"/>
          <w:iCs/>
          <w:color w:val="auto"/>
          <w:szCs w:val="24"/>
        </w:rPr>
        <w:t>.</w:t>
      </w:r>
    </w:p>
    <w:p>
      <w:pPr>
        <w:numPr>
          <w:ilvl w:val="0"/>
          <w:numId w:val="16"/>
        </w:numPr>
        <w:suppressAutoHyphens/>
        <w:spacing w:after="0" w:line="240" w:lineRule="auto"/>
        <w:ind w:left="425" w:leftChars="0" w:hanging="425" w:firstLineChars="0"/>
        <w:contextualSpacing/>
        <w:jc w:val="both"/>
        <w:rPr>
          <w:b w:val="0"/>
          <w:bCs w:val="0"/>
          <w:color w:val="auto"/>
        </w:rPr>
      </w:pPr>
      <w:r>
        <w:rPr>
          <w:b w:val="0"/>
          <w:bCs w:val="0"/>
          <w:color w:val="auto"/>
        </w:rPr>
        <w:t xml:space="preserve">Tehniskais piedāvājums jāsagatavo atbilstoši nolikuma noteiktajiem nosacījumiem. </w:t>
      </w:r>
    </w:p>
    <w:p>
      <w:pPr>
        <w:numPr>
          <w:ilvl w:val="0"/>
          <w:numId w:val="17"/>
        </w:numPr>
        <w:tabs>
          <w:tab w:val="clear" w:pos="425"/>
        </w:tabs>
        <w:suppressAutoHyphens/>
        <w:spacing w:after="0" w:line="240" w:lineRule="auto"/>
        <w:ind w:left="1425" w:leftChars="0" w:hanging="705" w:firstLineChars="0"/>
        <w:contextualSpacing/>
        <w:jc w:val="both"/>
        <w:rPr>
          <w:b w:val="0"/>
          <w:bCs w:val="0"/>
          <w:color w:val="auto"/>
        </w:rPr>
      </w:pPr>
      <w:r>
        <w:rPr>
          <w:b w:val="0"/>
          <w:bCs w:val="0"/>
          <w:color w:val="auto"/>
        </w:rPr>
        <w:t xml:space="preserve">Tehniskais piedāvājums jāsagatavo brīvā aprakstošā formā saskaņā ar Tehnisko specifikāciju. Tehniskajā piedāvājumā jāapraksta visas darbības kā tās tiks nodrošinātas (jāiekļauj visas tehniskās specifikācijas sadaļas) un vai vispār tiks nodrošinātas (no apraksta Komisijai jābūt pārliecinātai, ka visi nosacījumi tiks izdarīti un kā tiks izdarīti). </w:t>
      </w:r>
    </w:p>
    <w:p>
      <w:pPr>
        <w:numPr>
          <w:ilvl w:val="0"/>
          <w:numId w:val="17"/>
        </w:numPr>
        <w:tabs>
          <w:tab w:val="clear" w:pos="425"/>
        </w:tabs>
        <w:suppressAutoHyphens/>
        <w:spacing w:after="0" w:line="240" w:lineRule="auto"/>
        <w:ind w:left="1425" w:leftChars="0" w:hanging="705" w:firstLineChars="0"/>
        <w:contextualSpacing/>
        <w:jc w:val="both"/>
        <w:rPr>
          <w:rFonts w:ascii="Times New Roman" w:hAnsi="Times New Roman" w:cs="Times New Roman"/>
          <w:b w:val="0"/>
          <w:bCs w:val="0"/>
          <w:color w:val="auto"/>
          <w:sz w:val="24"/>
          <w:szCs w:val="24"/>
        </w:rPr>
      </w:pPr>
      <w:r>
        <w:rPr>
          <w:b w:val="0"/>
          <w:bCs w:val="0"/>
          <w:color w:val="auto"/>
        </w:rPr>
        <w:t>Jāiekļauj Darbu izpildes Laika grafiks, detalizācijas pakāpe – nedēļa, iekļaujot visus specifikācijā norādītos objektus. Mērījumi daudzdzīvokļu dzīvojamo māju pašvaldības dzīvojamās telpās</w:t>
      </w:r>
      <w:r>
        <w:rPr>
          <w:rFonts w:hint="default"/>
          <w:b w:val="0"/>
          <w:bCs w:val="0"/>
          <w:color w:val="auto"/>
        </w:rPr>
        <w:t xml:space="preserve"> jāveic </w:t>
      </w:r>
      <w:r>
        <w:rPr>
          <w:b w:val="0"/>
          <w:bCs w:val="0"/>
          <w:color w:val="auto"/>
        </w:rPr>
        <w:t>līdz 20</w:t>
      </w:r>
      <w:r>
        <w:rPr>
          <w:rFonts w:hint="default"/>
          <w:b w:val="0"/>
          <w:bCs w:val="0"/>
          <w:color w:val="auto"/>
        </w:rPr>
        <w:t>20</w:t>
      </w:r>
      <w:r>
        <w:rPr>
          <w:b w:val="0"/>
          <w:bCs w:val="0"/>
          <w:color w:val="auto"/>
        </w:rPr>
        <w:t>.gada 30.novembrim.</w:t>
      </w:r>
    </w:p>
    <w:p>
      <w:pPr>
        <w:numPr>
          <w:ilvl w:val="0"/>
          <w:numId w:val="17"/>
        </w:numPr>
        <w:tabs>
          <w:tab w:val="clear" w:pos="425"/>
        </w:tabs>
        <w:suppressAutoHyphens/>
        <w:spacing w:after="0" w:line="240" w:lineRule="auto"/>
        <w:ind w:left="1425" w:leftChars="0" w:hanging="705" w:firstLineChars="0"/>
        <w:contextualSpacing/>
        <w:jc w:val="both"/>
        <w:rPr>
          <w:rFonts w:eastAsia="Times New Roman" w:cs="Times New Roman"/>
          <w:color w:val="auto"/>
          <w:szCs w:val="24"/>
        </w:rPr>
      </w:pPr>
      <w:r>
        <w:rPr>
          <w:rFonts w:ascii="Times New Roman" w:hAnsi="Times New Roman" w:cs="Times New Roman"/>
          <w:b w:val="0"/>
          <w:bCs w:val="0"/>
          <w:color w:val="auto"/>
          <w:sz w:val="24"/>
          <w:szCs w:val="24"/>
        </w:rPr>
        <w:t>Jāiekļauj Apliecinājums, ka elektriskās vien</w:t>
      </w:r>
      <w:r>
        <w:rPr>
          <w:rFonts w:ascii="Times New Roman" w:hAnsi="Times New Roman" w:cs="Times New Roman"/>
          <w:color w:val="auto"/>
          <w:sz w:val="24"/>
          <w:szCs w:val="24"/>
        </w:rPr>
        <w:t>līniju shēmas tiks sastādītas tikai ar sertificēta elektroietaišu projektētāja palīdzību. Uzņēmumam jābūt visam izmantotam CAD datorprogrammatūras licencēm.</w:t>
      </w:r>
    </w:p>
    <w:p>
      <w:pPr>
        <w:suppressAutoHyphens/>
        <w:spacing w:after="0" w:line="240" w:lineRule="auto"/>
        <w:ind w:left="709"/>
        <w:contextualSpacing/>
        <w:jc w:val="both"/>
        <w:rPr>
          <w:rFonts w:eastAsia="Times New Roman" w:cs="Times New Roman"/>
          <w:color w:val="FF0000"/>
          <w:szCs w:val="24"/>
        </w:rPr>
      </w:pPr>
    </w:p>
    <w:p>
      <w:pPr>
        <w:pStyle w:val="8"/>
        <w:numPr>
          <w:numId w:val="0"/>
        </w:numPr>
        <w:spacing w:before="120" w:after="120"/>
        <w:ind w:left="357" w:leftChars="0"/>
        <w:jc w:val="center"/>
        <w:rPr>
          <w:rFonts w:eastAsia="Times New Roman" w:cs="Times New Roman"/>
          <w:b/>
          <w:bCs/>
          <w:color w:val="auto"/>
          <w:szCs w:val="20"/>
        </w:rPr>
      </w:pPr>
      <w:bookmarkStart w:id="32" w:name="_Toc324317558"/>
      <w:r>
        <w:rPr>
          <w:rFonts w:hint="default"/>
          <w:b/>
          <w:color w:val="auto"/>
          <w:sz w:val="24"/>
          <w:szCs w:val="24"/>
        </w:rPr>
        <w:t xml:space="preserve">6. </w:t>
      </w:r>
      <w:r>
        <w:rPr>
          <w:b/>
          <w:color w:val="auto"/>
          <w:sz w:val="24"/>
          <w:szCs w:val="24"/>
        </w:rPr>
        <w:t>Piedāvājumu vērtēšanas kārtība un piedāvājuma izvēles kritērijs</w:t>
      </w:r>
    </w:p>
    <w:p>
      <w:pPr>
        <w:pStyle w:val="8"/>
        <w:numPr>
          <w:ilvl w:val="0"/>
          <w:numId w:val="18"/>
        </w:numPr>
        <w:tabs>
          <w:tab w:val="left" w:pos="240"/>
          <w:tab w:val="left" w:pos="851"/>
        </w:tabs>
        <w:ind w:left="424" w:leftChars="0" w:hanging="424" w:hangingChars="177"/>
        <w:jc w:val="both"/>
        <w:rPr>
          <w:b w:val="0"/>
          <w:bCs w:val="0"/>
          <w:color w:val="auto"/>
          <w:sz w:val="24"/>
          <w:szCs w:val="24"/>
        </w:rPr>
      </w:pPr>
      <w:r>
        <w:rPr>
          <w:rFonts w:hint="default" w:eastAsia="Times New Roman" w:cs="Times New Roman"/>
          <w:color w:val="auto"/>
          <w:szCs w:val="20"/>
        </w:rPr>
        <w:t>P</w:t>
      </w:r>
      <w:r>
        <w:rPr>
          <w:rFonts w:eastAsia="Times New Roman" w:cs="Times New Roman"/>
          <w:color w:val="auto"/>
          <w:szCs w:val="20"/>
        </w:rPr>
        <w:t xml:space="preserve">iedāvājumi tiks atvērti SIA „DOBELES NAMSAIMNIEKS” juridiskajā adresē: Zaļā iela 3, Dobele, Dobeles novads,  </w:t>
      </w:r>
      <w:r>
        <w:rPr>
          <w:rFonts w:eastAsia="Times New Roman" w:cs="Times New Roman"/>
          <w:b/>
          <w:color w:val="auto"/>
          <w:szCs w:val="20"/>
        </w:rPr>
        <w:t>20</w:t>
      </w:r>
      <w:r>
        <w:rPr>
          <w:rFonts w:hint="default" w:eastAsia="Times New Roman" w:cs="Times New Roman"/>
          <w:b/>
          <w:color w:val="auto"/>
          <w:szCs w:val="20"/>
        </w:rPr>
        <w:t>20.</w:t>
      </w:r>
      <w:r>
        <w:rPr>
          <w:rFonts w:eastAsia="Times New Roman" w:cs="Times New Roman"/>
          <w:b/>
          <w:color w:val="auto"/>
          <w:szCs w:val="20"/>
        </w:rPr>
        <w:t xml:space="preserve">gada </w:t>
      </w:r>
      <w:r>
        <w:rPr>
          <w:rFonts w:hint="default" w:eastAsia="Times New Roman" w:cs="Times New Roman"/>
          <w:b/>
          <w:color w:val="auto"/>
          <w:szCs w:val="20"/>
        </w:rPr>
        <w:t>2</w:t>
      </w:r>
      <w:r>
        <w:rPr>
          <w:rFonts w:eastAsia="Times New Roman" w:cs="Times New Roman"/>
          <w:b/>
          <w:color w:val="auto"/>
          <w:szCs w:val="20"/>
        </w:rPr>
        <w:t>.</w:t>
      </w:r>
      <w:r>
        <w:rPr>
          <w:rFonts w:hint="default" w:eastAsia="Times New Roman" w:cs="Times New Roman"/>
          <w:b/>
          <w:color w:val="auto"/>
          <w:szCs w:val="20"/>
        </w:rPr>
        <w:t xml:space="preserve">jūlijā </w:t>
      </w:r>
      <w:r>
        <w:rPr>
          <w:rFonts w:eastAsia="Times New Roman" w:cs="Times New Roman"/>
          <w:b/>
          <w:color w:val="auto"/>
          <w:szCs w:val="20"/>
        </w:rPr>
        <w:t>plkst.1</w:t>
      </w:r>
      <w:r>
        <w:rPr>
          <w:rFonts w:hint="default" w:eastAsia="Times New Roman" w:cs="Times New Roman"/>
          <w:b/>
          <w:color w:val="auto"/>
          <w:szCs w:val="20"/>
        </w:rPr>
        <w:t>4</w:t>
      </w:r>
      <w:r>
        <w:rPr>
          <w:rFonts w:eastAsia="Times New Roman" w:cs="Times New Roman"/>
          <w:b/>
          <w:color w:val="auto"/>
          <w:szCs w:val="20"/>
        </w:rPr>
        <w:t>.</w:t>
      </w:r>
      <w:r>
        <w:rPr>
          <w:rFonts w:hint="default" w:eastAsia="Times New Roman" w:cs="Times New Roman"/>
          <w:b/>
          <w:color w:val="auto"/>
          <w:szCs w:val="20"/>
        </w:rPr>
        <w:t xml:space="preserve">15, </w:t>
      </w:r>
      <w:r>
        <w:rPr>
          <w:rFonts w:hint="default" w:eastAsia="Times New Roman" w:cs="Times New Roman"/>
          <w:b w:val="0"/>
          <w:bCs/>
          <w:color w:val="auto"/>
          <w:szCs w:val="20"/>
        </w:rPr>
        <w:t>slēgtā komisijas sēdē</w:t>
      </w:r>
      <w:r>
        <w:rPr>
          <w:rFonts w:eastAsia="Times New Roman" w:cs="Times New Roman"/>
          <w:b w:val="0"/>
          <w:bCs/>
          <w:color w:val="auto"/>
          <w:szCs w:val="20"/>
        </w:rPr>
        <w:t>.</w:t>
      </w:r>
    </w:p>
    <w:p>
      <w:pPr>
        <w:pStyle w:val="8"/>
        <w:numPr>
          <w:ilvl w:val="0"/>
          <w:numId w:val="18"/>
        </w:numPr>
        <w:tabs>
          <w:tab w:val="left" w:pos="240"/>
          <w:tab w:val="left" w:pos="851"/>
        </w:tabs>
        <w:ind w:left="424" w:leftChars="0" w:hanging="424" w:hangingChars="177"/>
        <w:jc w:val="both"/>
        <w:rPr>
          <w:b w:val="0"/>
          <w:bCs w:val="0"/>
          <w:color w:val="auto"/>
          <w:sz w:val="24"/>
          <w:szCs w:val="24"/>
        </w:rPr>
      </w:pPr>
      <w:r>
        <w:rPr>
          <w:b w:val="0"/>
          <w:bCs w:val="0"/>
          <w:color w:val="auto"/>
          <w:sz w:val="24"/>
          <w:szCs w:val="24"/>
        </w:rPr>
        <w:t>Pretendentu atlasi un finanšu piedāvājumu atbilstības pārbaudi un piedāvājumu vērtēšanu komisija veic slēgtā sanāksmē.</w:t>
      </w:r>
    </w:p>
    <w:p>
      <w:pPr>
        <w:pStyle w:val="8"/>
        <w:numPr>
          <w:ilvl w:val="0"/>
          <w:numId w:val="18"/>
        </w:numPr>
        <w:tabs>
          <w:tab w:val="left" w:pos="851"/>
        </w:tabs>
        <w:ind w:left="424" w:leftChars="0" w:hanging="424" w:hangingChars="177"/>
        <w:jc w:val="both"/>
        <w:rPr>
          <w:b w:val="0"/>
          <w:bCs w:val="0"/>
          <w:color w:val="auto"/>
          <w:sz w:val="24"/>
          <w:szCs w:val="24"/>
        </w:rPr>
      </w:pPr>
      <w:r>
        <w:rPr>
          <w:b w:val="0"/>
          <w:bCs w:val="0"/>
          <w:color w:val="auto"/>
          <w:sz w:val="24"/>
          <w:szCs w:val="24"/>
        </w:rPr>
        <w:t>Komisija vērtē tikai tos pretendentu piedāvājumus, kuri iesniegti un noformēti atbilstoši šī nolikuma prasībām.</w:t>
      </w:r>
    </w:p>
    <w:p>
      <w:pPr>
        <w:pStyle w:val="8"/>
        <w:numPr>
          <w:ilvl w:val="0"/>
          <w:numId w:val="18"/>
        </w:numPr>
        <w:tabs>
          <w:tab w:val="left" w:pos="851"/>
        </w:tabs>
        <w:ind w:left="424" w:leftChars="0" w:hanging="424" w:hangingChars="177"/>
        <w:jc w:val="both"/>
        <w:rPr>
          <w:b w:val="0"/>
          <w:bCs w:val="0"/>
          <w:color w:val="auto"/>
          <w:sz w:val="24"/>
          <w:szCs w:val="24"/>
        </w:rPr>
      </w:pPr>
      <w:r>
        <w:rPr>
          <w:b w:val="0"/>
          <w:bCs w:val="0"/>
          <w:color w:val="auto"/>
          <w:sz w:val="24"/>
          <w:szCs w:val="24"/>
        </w:rPr>
        <w:t>Piedāvājuma vērtēšanas kārtība</w:t>
      </w:r>
      <w:r>
        <w:rPr>
          <w:rFonts w:hint="default"/>
          <w:b w:val="0"/>
          <w:bCs w:val="0"/>
          <w:color w:val="auto"/>
          <w:sz w:val="24"/>
          <w:szCs w:val="24"/>
        </w:rPr>
        <w:t>:</w:t>
      </w:r>
    </w:p>
    <w:p>
      <w:pPr>
        <w:pStyle w:val="8"/>
        <w:numPr>
          <w:ilvl w:val="0"/>
          <w:numId w:val="19"/>
        </w:numPr>
        <w:tabs>
          <w:tab w:val="clear" w:pos="425"/>
        </w:tabs>
        <w:ind w:left="718" w:leftChars="298" w:hanging="3" w:firstLineChars="0"/>
        <w:jc w:val="both"/>
        <w:rPr>
          <w:b w:val="0"/>
          <w:bCs w:val="0"/>
          <w:color w:val="auto"/>
          <w:sz w:val="24"/>
          <w:szCs w:val="24"/>
        </w:rPr>
      </w:pPr>
      <w:r>
        <w:rPr>
          <w:b w:val="0"/>
          <w:bCs w:val="0"/>
          <w:color w:val="auto"/>
          <w:sz w:val="24"/>
          <w:szCs w:val="24"/>
        </w:rPr>
        <w:t>Piedāvājuma noformējuma pārbaude - piedāvājuma noformējuma pārbaudes laikā komisija izvērtē, vai piedāvājums sagatavots un noformēts atbilstoši nolikumā norādītajām prasībām. Komisija noraida piedāvājumu, ja tiek konstatēta noformējuma būtiska neatbilstība nolikumā norādītajām prasībām.</w:t>
      </w:r>
    </w:p>
    <w:p>
      <w:pPr>
        <w:pStyle w:val="8"/>
        <w:numPr>
          <w:ilvl w:val="0"/>
          <w:numId w:val="19"/>
        </w:numPr>
        <w:tabs>
          <w:tab w:val="clear" w:pos="425"/>
        </w:tabs>
        <w:ind w:left="718" w:leftChars="298" w:hanging="3" w:firstLineChars="0"/>
        <w:jc w:val="both"/>
        <w:rPr>
          <w:color w:val="auto"/>
          <w:sz w:val="24"/>
          <w:szCs w:val="24"/>
        </w:rPr>
      </w:pPr>
      <w:r>
        <w:rPr>
          <w:b w:val="0"/>
          <w:bCs w:val="0"/>
          <w:color w:val="auto"/>
          <w:sz w:val="24"/>
          <w:szCs w:val="24"/>
        </w:rPr>
        <w:t>Pretendentu atlase - pēc piedāvājumu noformējuma un piedāvājuma  pārbaudes komisija veic pretendentu atlasi u</w:t>
      </w:r>
      <w:r>
        <w:rPr>
          <w:rFonts w:hint="default"/>
          <w:b w:val="0"/>
          <w:bCs w:val="0"/>
          <w:color w:val="auto"/>
          <w:sz w:val="24"/>
          <w:szCs w:val="24"/>
        </w:rPr>
        <w:t>n</w:t>
      </w:r>
      <w:r>
        <w:rPr>
          <w:b w:val="0"/>
          <w:bCs w:val="0"/>
          <w:color w:val="auto"/>
          <w:sz w:val="24"/>
          <w:szCs w:val="24"/>
        </w:rPr>
        <w:t xml:space="preserve"> atlases prasību pārbaudi veikt tikai tam pretendentam, kuram būtu piešķirama</w:t>
      </w:r>
      <w:r>
        <w:rPr>
          <w:color w:val="auto"/>
          <w:sz w:val="24"/>
          <w:szCs w:val="24"/>
        </w:rPr>
        <w:t>s iepirkuma līguma slēgšanas tiesības):</w:t>
      </w:r>
    </w:p>
    <w:p>
      <w:pPr>
        <w:pStyle w:val="8"/>
        <w:numPr>
          <w:ilvl w:val="0"/>
          <w:numId w:val="20"/>
        </w:numPr>
        <w:tabs>
          <w:tab w:val="clear" w:pos="425"/>
        </w:tabs>
        <w:ind w:left="955" w:leftChars="398" w:firstLine="0" w:firstLineChars="0"/>
        <w:jc w:val="both"/>
        <w:rPr>
          <w:color w:val="auto"/>
          <w:sz w:val="24"/>
          <w:szCs w:val="24"/>
        </w:rPr>
      </w:pPr>
      <w:r>
        <w:rPr>
          <w:color w:val="auto"/>
          <w:sz w:val="24"/>
          <w:szCs w:val="24"/>
        </w:rPr>
        <w:t xml:space="preserve">pretendentu atlase notiek saskaņā ar </w:t>
      </w:r>
      <w:r>
        <w:rPr>
          <w:rFonts w:hint="default"/>
          <w:color w:val="auto"/>
          <w:sz w:val="24"/>
          <w:szCs w:val="24"/>
        </w:rPr>
        <w:t xml:space="preserve">5.punktā </w:t>
      </w:r>
      <w:r>
        <w:rPr>
          <w:color w:val="auto"/>
          <w:sz w:val="24"/>
          <w:szCs w:val="24"/>
        </w:rPr>
        <w:t>minētajām prasībām un dokumentiem;</w:t>
      </w:r>
    </w:p>
    <w:p>
      <w:pPr>
        <w:pStyle w:val="8"/>
        <w:numPr>
          <w:ilvl w:val="0"/>
          <w:numId w:val="20"/>
        </w:numPr>
        <w:tabs>
          <w:tab w:val="clear" w:pos="425"/>
        </w:tabs>
        <w:ind w:left="955" w:leftChars="398" w:firstLine="0" w:firstLineChars="0"/>
        <w:jc w:val="both"/>
        <w:rPr>
          <w:b w:val="0"/>
          <w:bCs w:val="0"/>
          <w:color w:val="auto"/>
          <w:sz w:val="24"/>
          <w:szCs w:val="24"/>
        </w:rPr>
      </w:pPr>
      <w:r>
        <w:rPr>
          <w:color w:val="auto"/>
          <w:sz w:val="24"/>
          <w:szCs w:val="24"/>
        </w:rPr>
        <w:t xml:space="preserve">ja pretendents neatbilst kādai no konkursa nolikumā </w:t>
      </w:r>
      <w:r>
        <w:rPr>
          <w:b w:val="0"/>
          <w:bCs w:val="0"/>
          <w:color w:val="auto"/>
          <w:sz w:val="24"/>
          <w:szCs w:val="24"/>
        </w:rPr>
        <w:t>izvirzītajām prasībām, komisija izslēdz pretendentu no turpmākās dalības iepirkuma procedūrā.</w:t>
      </w:r>
    </w:p>
    <w:p>
      <w:pPr>
        <w:pStyle w:val="8"/>
        <w:numPr>
          <w:ilvl w:val="0"/>
          <w:numId w:val="21"/>
        </w:numPr>
        <w:ind w:left="424" w:leftChars="0" w:hanging="424" w:hangingChars="177"/>
        <w:jc w:val="both"/>
        <w:rPr>
          <w:color w:val="auto"/>
          <w:sz w:val="24"/>
          <w:szCs w:val="24"/>
        </w:rPr>
      </w:pPr>
      <w:r>
        <w:rPr>
          <w:b w:val="0"/>
          <w:bCs w:val="0"/>
          <w:color w:val="auto"/>
          <w:sz w:val="24"/>
          <w:szCs w:val="24"/>
        </w:rPr>
        <w:t xml:space="preserve">Finanšu piedāvājuma vērtēšana - </w:t>
      </w:r>
      <w:r>
        <w:rPr>
          <w:color w:val="auto"/>
          <w:sz w:val="24"/>
          <w:szCs w:val="24"/>
        </w:rPr>
        <w:t>pēc pretendentu atlases komisija veic finanšu piedāvājumu atbilstības pārbaudi nolikuma prasībām:</w:t>
      </w:r>
    </w:p>
    <w:p>
      <w:pPr>
        <w:pStyle w:val="8"/>
        <w:numPr>
          <w:ilvl w:val="0"/>
          <w:numId w:val="22"/>
        </w:numPr>
        <w:tabs>
          <w:tab w:val="clear" w:pos="425"/>
        </w:tabs>
        <w:ind w:left="705" w:leftChars="0" w:firstLine="15" w:firstLineChars="0"/>
        <w:jc w:val="both"/>
        <w:rPr>
          <w:color w:val="auto"/>
          <w:sz w:val="24"/>
          <w:szCs w:val="24"/>
        </w:rPr>
      </w:pPr>
      <w:r>
        <w:rPr>
          <w:color w:val="auto"/>
          <w:sz w:val="24"/>
          <w:szCs w:val="24"/>
        </w:rPr>
        <w:t xml:space="preserve">finanšu piedāvājuma atbilstības pārbaude notiek saskaņā ar nolikuma </w:t>
      </w:r>
      <w:r>
        <w:rPr>
          <w:rFonts w:hint="default"/>
          <w:color w:val="auto"/>
          <w:sz w:val="24"/>
          <w:szCs w:val="24"/>
        </w:rPr>
        <w:t>5.5.</w:t>
      </w:r>
      <w:r>
        <w:rPr>
          <w:color w:val="auto"/>
          <w:sz w:val="24"/>
          <w:szCs w:val="24"/>
        </w:rPr>
        <w:t>apakšpunka prasībām;</w:t>
      </w:r>
    </w:p>
    <w:p>
      <w:pPr>
        <w:pStyle w:val="8"/>
        <w:numPr>
          <w:ilvl w:val="0"/>
          <w:numId w:val="22"/>
        </w:numPr>
        <w:tabs>
          <w:tab w:val="clear" w:pos="425"/>
        </w:tabs>
        <w:ind w:left="705" w:leftChars="0" w:firstLine="15" w:firstLineChars="0"/>
        <w:jc w:val="both"/>
        <w:rPr>
          <w:color w:val="auto"/>
          <w:sz w:val="24"/>
          <w:szCs w:val="24"/>
        </w:rPr>
      </w:pPr>
      <w:r>
        <w:rPr>
          <w:color w:val="auto"/>
          <w:sz w:val="24"/>
          <w:szCs w:val="24"/>
        </w:rPr>
        <w:t>ja komisija finanšu piedāvājumā konstatē aritmētiskas kļūdas, tā šīs kļūdas izlabo. Par visiem aritmētisko kļūdu labojumiem paziņo pretendentam, kura piedāvājumā labojumi izdarīti. Vērtējot piedāvājumus, kuros bijušas aritmētiskās kļūdas, komisija ņem vērā tikai iepriekš noteiktajā kārtībā labotās cenas;</w:t>
      </w:r>
    </w:p>
    <w:p>
      <w:pPr>
        <w:pStyle w:val="8"/>
        <w:numPr>
          <w:ilvl w:val="0"/>
          <w:numId w:val="22"/>
        </w:numPr>
        <w:tabs>
          <w:tab w:val="clear" w:pos="425"/>
        </w:tabs>
        <w:ind w:left="705" w:leftChars="0" w:firstLine="15" w:firstLineChars="0"/>
        <w:jc w:val="both"/>
        <w:rPr>
          <w:color w:val="auto"/>
          <w:sz w:val="24"/>
          <w:szCs w:val="24"/>
        </w:rPr>
      </w:pPr>
      <w:r>
        <w:rPr>
          <w:color w:val="auto"/>
          <w:sz w:val="24"/>
          <w:szCs w:val="24"/>
        </w:rPr>
        <w:t>finanšu piedāvājuma vērtēšanas stadijā komisija izvērtē, vai pretendenta piedāvājums nav nepamatoti lēts;</w:t>
      </w:r>
    </w:p>
    <w:p>
      <w:pPr>
        <w:pStyle w:val="8"/>
        <w:numPr>
          <w:ilvl w:val="0"/>
          <w:numId w:val="22"/>
        </w:numPr>
        <w:tabs>
          <w:tab w:val="clear" w:pos="425"/>
        </w:tabs>
        <w:ind w:left="705" w:leftChars="0" w:firstLine="15" w:firstLineChars="0"/>
        <w:jc w:val="both"/>
        <w:rPr>
          <w:b w:val="0"/>
          <w:bCs w:val="0"/>
          <w:color w:val="auto"/>
          <w:sz w:val="24"/>
          <w:szCs w:val="24"/>
        </w:rPr>
      </w:pPr>
      <w:r>
        <w:rPr>
          <w:color w:val="auto"/>
          <w:sz w:val="24"/>
          <w:szCs w:val="24"/>
        </w:rPr>
        <w:t xml:space="preserve">ja komisija konstatē, ka pretendenta finanšu piedāvājums ir nepamatoti lēts, tad komisija rīkojas saskaņā ar PIL 53.pantā minētajiem nosacījumiem un pieprasa detalizētu skaidrojumu par piedāvāto cenu vai izmaksām, kā arī komisijai ir tiesības pieprasīt pretendentam iesniegt izdruku no Valsts ieņēmumu dienesta elektroniskās deklarēšanas sistēmas par pretendenta un tā piedāvājumā norādīto apakšuzņēmēju </w:t>
      </w:r>
      <w:r>
        <w:rPr>
          <w:b w:val="0"/>
          <w:bCs w:val="0"/>
          <w:color w:val="auto"/>
          <w:sz w:val="24"/>
          <w:szCs w:val="24"/>
        </w:rPr>
        <w:t>darbinieku vidējām stundas tarifa likmēm profesiju grupās, ja šādus datus apkopo Valsts ieņēmumu dienests.</w:t>
      </w:r>
    </w:p>
    <w:p>
      <w:pPr>
        <w:pStyle w:val="8"/>
        <w:numPr>
          <w:ilvl w:val="0"/>
          <w:numId w:val="23"/>
        </w:numPr>
        <w:ind w:left="425" w:leftChars="0" w:hanging="425" w:firstLineChars="0"/>
        <w:jc w:val="both"/>
        <w:rPr>
          <w:color w:val="auto"/>
          <w:sz w:val="24"/>
          <w:szCs w:val="24"/>
        </w:rPr>
      </w:pPr>
      <w:r>
        <w:rPr>
          <w:b w:val="0"/>
          <w:bCs w:val="0"/>
          <w:color w:val="auto"/>
          <w:sz w:val="24"/>
          <w:szCs w:val="24"/>
        </w:rPr>
        <w:t>Tehniskā piedāvājuma vērtēšana- p</w:t>
      </w:r>
      <w:r>
        <w:rPr>
          <w:color w:val="auto"/>
          <w:sz w:val="24"/>
          <w:szCs w:val="24"/>
        </w:rPr>
        <w:t>ēc pretendentu atlases komisija veic tehniskā piedāvājumu atbilstības pārbaudi nolikuma prasībām.Tehniskā piedāvājuma atbilstības pārbaude notiek saskaņā ar nolikuma</w:t>
      </w:r>
      <w:r>
        <w:rPr>
          <w:rFonts w:hint="default"/>
          <w:color w:val="auto"/>
          <w:sz w:val="24"/>
          <w:szCs w:val="24"/>
        </w:rPr>
        <w:t xml:space="preserve"> 5.8.</w:t>
      </w:r>
      <w:r>
        <w:rPr>
          <w:color w:val="auto"/>
          <w:sz w:val="24"/>
          <w:szCs w:val="24"/>
        </w:rPr>
        <w:t>akšpunkta prasībām;</w:t>
      </w:r>
    </w:p>
    <w:p>
      <w:pPr>
        <w:pStyle w:val="8"/>
        <w:numPr>
          <w:ilvl w:val="0"/>
          <w:numId w:val="23"/>
        </w:numPr>
        <w:ind w:left="425" w:leftChars="0" w:hanging="425" w:firstLineChars="0"/>
        <w:jc w:val="both"/>
        <w:rPr>
          <w:color w:val="auto"/>
          <w:sz w:val="24"/>
          <w:szCs w:val="24"/>
        </w:rPr>
      </w:pPr>
      <w:r>
        <w:rPr>
          <w:color w:val="auto"/>
          <w:sz w:val="24"/>
          <w:szCs w:val="24"/>
        </w:rPr>
        <w:t xml:space="preserve">Pirms lēmuma par līguma slēgšanas tiesību piešķiršanu, komisija pārbauda, vai attiecībā uz pretendentu, kuram atbilstoši citām paziņojumā par līgumu un iepirkuma procedūras dokumentos noteiktajām prasībām un izraudzītajam piedāvājuma izvēles kritērijam būtu piešķiramas līguma slēgšanas tiesības, nav attiecināmi PIL 42.panta pirmās daļas izslēgšanas nosacījumi. Komisija minēto izslēgšanas nosacījumu pārbaudi veic PIL 42.pantā noteiktajā kārtībā un termiņos. </w:t>
      </w:r>
    </w:p>
    <w:p>
      <w:pPr>
        <w:pStyle w:val="8"/>
        <w:numPr>
          <w:ilvl w:val="0"/>
          <w:numId w:val="23"/>
        </w:numPr>
        <w:ind w:left="425" w:leftChars="0" w:hanging="425" w:firstLineChars="0"/>
        <w:jc w:val="both"/>
        <w:rPr>
          <w:b w:val="0"/>
          <w:bCs w:val="0"/>
          <w:color w:val="auto"/>
          <w:sz w:val="24"/>
          <w:szCs w:val="24"/>
          <w:lang w:eastAsia="ar-SA"/>
        </w:rPr>
      </w:pPr>
      <w:r>
        <w:rPr>
          <w:color w:val="auto"/>
          <w:sz w:val="24"/>
          <w:szCs w:val="24"/>
        </w:rPr>
        <w:t xml:space="preserve">Ja nepieciešams, komisija uzticamības nodrošināšanai iesniegto pierādījumu vērtēšanu </w:t>
      </w:r>
      <w:r>
        <w:rPr>
          <w:b w:val="0"/>
          <w:bCs w:val="0"/>
          <w:color w:val="auto"/>
          <w:sz w:val="24"/>
          <w:szCs w:val="24"/>
        </w:rPr>
        <w:t>veic saskaņā ar PIL 43.panta nosacījumiem.</w:t>
      </w:r>
    </w:p>
    <w:p>
      <w:pPr>
        <w:pStyle w:val="8"/>
        <w:numPr>
          <w:ilvl w:val="0"/>
          <w:numId w:val="23"/>
        </w:numPr>
        <w:ind w:left="425" w:leftChars="0" w:hanging="425" w:firstLineChars="0"/>
        <w:jc w:val="both"/>
        <w:rPr>
          <w:color w:val="auto"/>
          <w:sz w:val="24"/>
          <w:szCs w:val="24"/>
        </w:rPr>
      </w:pPr>
      <w:r>
        <w:rPr>
          <w:b w:val="0"/>
          <w:bCs w:val="0"/>
          <w:color w:val="auto"/>
          <w:sz w:val="24"/>
          <w:szCs w:val="24"/>
        </w:rPr>
        <w:t xml:space="preserve">Piedāvājuma izvēles kritērijs </w:t>
      </w:r>
      <w:r>
        <w:rPr>
          <w:color w:val="auto"/>
          <w:sz w:val="24"/>
          <w:szCs w:val="24"/>
        </w:rPr>
        <w:t xml:space="preserve">– </w:t>
      </w:r>
      <w:r>
        <w:rPr>
          <w:bCs/>
          <w:color w:val="auto"/>
          <w:sz w:val="24"/>
          <w:szCs w:val="24"/>
        </w:rPr>
        <w:t xml:space="preserve">Zemākā cena. Tiks atzīts piedāvājums </w:t>
      </w:r>
      <w:r>
        <w:rPr>
          <w:b/>
          <w:bCs/>
          <w:color w:val="auto"/>
          <w:sz w:val="24"/>
          <w:szCs w:val="24"/>
        </w:rPr>
        <w:t>ar viszemāko cenu (EUR bez PVN)</w:t>
      </w:r>
      <w:r>
        <w:rPr>
          <w:color w:val="auto"/>
          <w:sz w:val="24"/>
          <w:szCs w:val="24"/>
        </w:rPr>
        <w:t>, no piedāvājumiem, kas atbilst nolikumā noteiktajām prasībām.</w:t>
      </w:r>
    </w:p>
    <w:p>
      <w:pPr>
        <w:pStyle w:val="8"/>
        <w:numPr>
          <w:ilvl w:val="0"/>
          <w:numId w:val="23"/>
        </w:numPr>
        <w:ind w:left="425" w:leftChars="0" w:hanging="425" w:firstLineChars="0"/>
        <w:jc w:val="both"/>
        <w:rPr>
          <w:color w:val="auto"/>
          <w:sz w:val="24"/>
          <w:szCs w:val="24"/>
        </w:rPr>
      </w:pPr>
      <w:r>
        <w:rPr>
          <w:color w:val="auto"/>
          <w:sz w:val="24"/>
          <w:szCs w:val="24"/>
        </w:rPr>
        <w:t>Ja vairākiem pretendentiem ir norādīta vienāda “Piedāvātā cena kopā EUR bez PVN”, tad komisija rīko izlozi, pieaicinot pretendentus, kuru iesniegtajos piedāvājumos ir norādīta vienāda cena. Ja pretendents neierodas uz izlozi, tad komisija veic izlozi bez pretendenta klātbūtnes.</w:t>
      </w:r>
    </w:p>
    <w:p>
      <w:pPr>
        <w:pStyle w:val="8"/>
        <w:tabs>
          <w:tab w:val="left" w:pos="851"/>
        </w:tabs>
        <w:spacing w:before="120" w:after="120"/>
        <w:ind w:left="425"/>
        <w:jc w:val="both"/>
        <w:rPr>
          <w:color w:val="FF0000"/>
          <w:sz w:val="24"/>
          <w:szCs w:val="24"/>
        </w:rPr>
      </w:pPr>
    </w:p>
    <w:p>
      <w:pPr>
        <w:pStyle w:val="8"/>
        <w:numPr>
          <w:numId w:val="0"/>
        </w:numPr>
        <w:spacing w:before="120" w:after="120"/>
        <w:ind w:leftChars="0"/>
        <w:jc w:val="center"/>
        <w:rPr>
          <w:b/>
          <w:color w:val="auto"/>
          <w:sz w:val="24"/>
          <w:szCs w:val="24"/>
        </w:rPr>
      </w:pPr>
      <w:r>
        <w:rPr>
          <w:rFonts w:hint="default"/>
          <w:b/>
          <w:color w:val="auto"/>
          <w:sz w:val="24"/>
          <w:szCs w:val="24"/>
        </w:rPr>
        <w:t xml:space="preserve">7. </w:t>
      </w:r>
      <w:r>
        <w:rPr>
          <w:b/>
          <w:color w:val="auto"/>
          <w:sz w:val="24"/>
          <w:szCs w:val="24"/>
        </w:rPr>
        <w:t>Komisijas darbība, tiesības un pienākumi</w:t>
      </w:r>
    </w:p>
    <w:p>
      <w:pPr>
        <w:pStyle w:val="8"/>
        <w:numPr>
          <w:ilvl w:val="0"/>
          <w:numId w:val="24"/>
        </w:numPr>
        <w:tabs>
          <w:tab w:val="left" w:pos="720"/>
          <w:tab w:val="left" w:pos="851"/>
        </w:tabs>
        <w:ind w:left="425" w:leftChars="0" w:hanging="425" w:firstLineChars="0"/>
        <w:jc w:val="both"/>
        <w:rPr>
          <w:color w:val="auto"/>
          <w:sz w:val="24"/>
          <w:szCs w:val="24"/>
        </w:rPr>
      </w:pPr>
      <w:r>
        <w:rPr>
          <w:color w:val="auto"/>
          <w:sz w:val="24"/>
          <w:szCs w:val="24"/>
        </w:rPr>
        <w:t>Komisija rīkojas saskaņā ar PIL un citiem normatīvajiem aktiem. Komisija atbild par PIL, kā arī citu normatīvo aktu un pasūtītāja interešu ievērošanu.</w:t>
      </w:r>
    </w:p>
    <w:p>
      <w:pPr>
        <w:pStyle w:val="8"/>
        <w:numPr>
          <w:ilvl w:val="0"/>
          <w:numId w:val="24"/>
        </w:numPr>
        <w:tabs>
          <w:tab w:val="left" w:pos="426"/>
          <w:tab w:val="left" w:pos="851"/>
        </w:tabs>
        <w:ind w:left="425" w:leftChars="0" w:hanging="425" w:firstLineChars="0"/>
        <w:jc w:val="both"/>
        <w:rPr>
          <w:color w:val="auto"/>
          <w:sz w:val="24"/>
          <w:szCs w:val="24"/>
        </w:rPr>
      </w:pPr>
      <w:r>
        <w:rPr>
          <w:color w:val="auto"/>
          <w:sz w:val="24"/>
          <w:szCs w:val="24"/>
        </w:rPr>
        <w:t>Komisija risina visus ar konkursa norisi un organizēšanu saistītos jautājumus.</w:t>
      </w:r>
    </w:p>
    <w:p>
      <w:pPr>
        <w:pStyle w:val="8"/>
        <w:numPr>
          <w:ilvl w:val="0"/>
          <w:numId w:val="24"/>
        </w:numPr>
        <w:tabs>
          <w:tab w:val="left" w:pos="851"/>
        </w:tabs>
        <w:ind w:left="425" w:leftChars="0" w:hanging="425" w:firstLineChars="0"/>
        <w:jc w:val="both"/>
        <w:rPr>
          <w:color w:val="auto"/>
          <w:sz w:val="24"/>
          <w:szCs w:val="24"/>
        </w:rPr>
      </w:pPr>
      <w:r>
        <w:rPr>
          <w:color w:val="auto"/>
          <w:sz w:val="24"/>
          <w:szCs w:val="24"/>
        </w:rPr>
        <w:t>Komisijai ir tiesības pieprasīt, lai pretendents precizētu informāciju par savu piedāvājumu, ja tas nepieciešams pretendentu atlasei un piedāvājumu atbilstības pārbaudei.</w:t>
      </w:r>
    </w:p>
    <w:p>
      <w:pPr>
        <w:pStyle w:val="8"/>
        <w:numPr>
          <w:ilvl w:val="0"/>
          <w:numId w:val="24"/>
        </w:numPr>
        <w:tabs>
          <w:tab w:val="left" w:pos="851"/>
        </w:tabs>
        <w:ind w:left="425" w:leftChars="0" w:hanging="425" w:firstLineChars="0"/>
        <w:jc w:val="both"/>
        <w:rPr>
          <w:color w:val="auto"/>
          <w:sz w:val="24"/>
          <w:szCs w:val="24"/>
        </w:rPr>
      </w:pPr>
      <w:r>
        <w:rPr>
          <w:color w:val="auto"/>
          <w:sz w:val="24"/>
          <w:szCs w:val="24"/>
        </w:rPr>
        <w:t>Komisijai ir tiesības pirms lēmuma pieņemšanas par iepirkuma līguma slēgšanas tiesību piešķiršanas pieprasīt, lai pretendents, kurš ir iesniedzis Eiropas vienoto iepirkuma procedūras dokumentu un kuram iepirkuma procedūrā būtu piešķiramas iepirkuma līguma slēgšanas tiesības, iesniedz dokumentus, kas apliecina pretendenta atbilstību pretendenta atlases prasībām.</w:t>
      </w:r>
    </w:p>
    <w:p>
      <w:pPr>
        <w:pStyle w:val="8"/>
        <w:numPr>
          <w:ilvl w:val="0"/>
          <w:numId w:val="24"/>
        </w:numPr>
        <w:tabs>
          <w:tab w:val="left" w:pos="426"/>
          <w:tab w:val="left" w:pos="851"/>
        </w:tabs>
        <w:ind w:left="425" w:leftChars="0" w:hanging="425" w:firstLineChars="0"/>
        <w:jc w:val="both"/>
        <w:rPr>
          <w:color w:val="auto"/>
          <w:sz w:val="24"/>
          <w:szCs w:val="24"/>
        </w:rPr>
      </w:pPr>
      <w:r>
        <w:rPr>
          <w:color w:val="auto"/>
          <w:sz w:val="24"/>
          <w:szCs w:val="24"/>
        </w:rPr>
        <w:t>Komisijai ir tiesības pieaicināt ekspertu piedāvājumu noformējuma pārbaudei, pretendentu atlasei un piedāvājumu atbilstības pārbaudei.</w:t>
      </w:r>
    </w:p>
    <w:p>
      <w:pPr>
        <w:pStyle w:val="8"/>
        <w:numPr>
          <w:ilvl w:val="0"/>
          <w:numId w:val="24"/>
        </w:numPr>
        <w:tabs>
          <w:tab w:val="left" w:pos="426"/>
          <w:tab w:val="left" w:pos="851"/>
        </w:tabs>
        <w:ind w:left="425" w:leftChars="0" w:hanging="425" w:firstLineChars="0"/>
        <w:jc w:val="both"/>
        <w:rPr>
          <w:color w:val="auto"/>
          <w:sz w:val="24"/>
          <w:szCs w:val="24"/>
        </w:rPr>
      </w:pPr>
      <w:r>
        <w:rPr>
          <w:color w:val="auto"/>
          <w:sz w:val="24"/>
          <w:szCs w:val="24"/>
        </w:rPr>
        <w:t xml:space="preserve">Komisijai ir tiesības izvēlēties nākamo piedāvājumu ar viszemāko cenu, ja izraudzītais pretendents </w:t>
      </w:r>
      <w:r>
        <w:rPr>
          <w:rFonts w:cs="26krzlcoljlsoja"/>
          <w:bCs/>
          <w:color w:val="auto"/>
          <w:sz w:val="24"/>
          <w:szCs w:val="24"/>
        </w:rPr>
        <w:t xml:space="preserve">neparaksta līgumu 10 (desmit) darba dienu laikā pēc Pasūtītāja uzaicinājuma parakstīt līgumu saņemšanas. </w:t>
      </w:r>
    </w:p>
    <w:p>
      <w:pPr>
        <w:pStyle w:val="8"/>
        <w:numPr>
          <w:ilvl w:val="0"/>
          <w:numId w:val="24"/>
        </w:numPr>
        <w:tabs>
          <w:tab w:val="left" w:pos="426"/>
        </w:tabs>
        <w:ind w:left="425" w:leftChars="0" w:hanging="425" w:firstLineChars="0"/>
        <w:jc w:val="both"/>
        <w:rPr>
          <w:color w:val="auto"/>
          <w:sz w:val="24"/>
          <w:szCs w:val="24"/>
        </w:rPr>
      </w:pPr>
      <w:r>
        <w:rPr>
          <w:color w:val="auto"/>
          <w:sz w:val="24"/>
          <w:szCs w:val="24"/>
        </w:rPr>
        <w:t>Objektīva pamatojuma gadījumā komisijai ir tiesības jebkurā brīdī pārtraukt iepirkuma procedūru.</w:t>
      </w:r>
    </w:p>
    <w:p>
      <w:pPr>
        <w:pStyle w:val="8"/>
        <w:numPr>
          <w:ilvl w:val="0"/>
          <w:numId w:val="24"/>
        </w:numPr>
        <w:tabs>
          <w:tab w:val="left" w:pos="426"/>
        </w:tabs>
        <w:ind w:left="425" w:leftChars="0" w:hanging="425" w:firstLineChars="0"/>
        <w:jc w:val="both"/>
        <w:rPr>
          <w:color w:val="auto"/>
          <w:sz w:val="24"/>
          <w:szCs w:val="24"/>
        </w:rPr>
      </w:pPr>
      <w:r>
        <w:rPr>
          <w:color w:val="auto"/>
          <w:sz w:val="24"/>
          <w:szCs w:val="24"/>
        </w:rPr>
        <w:t>Komisija vērtē pretendentus un to iesniegtos piedāvājumus saskaņā ar PIL, citiem normatīvajiem aktiem un šo nolikumu.</w:t>
      </w:r>
    </w:p>
    <w:p>
      <w:pPr>
        <w:pStyle w:val="8"/>
        <w:numPr>
          <w:numId w:val="0"/>
        </w:numPr>
        <w:tabs>
          <w:tab w:val="left" w:pos="426"/>
        </w:tabs>
        <w:ind w:leftChars="0"/>
        <w:jc w:val="both"/>
        <w:rPr>
          <w:color w:val="FF0000"/>
          <w:sz w:val="24"/>
          <w:szCs w:val="24"/>
        </w:rPr>
      </w:pPr>
    </w:p>
    <w:p>
      <w:pPr>
        <w:pStyle w:val="8"/>
        <w:numPr>
          <w:numId w:val="0"/>
        </w:numPr>
        <w:spacing w:before="120" w:after="120"/>
        <w:ind w:left="357" w:leftChars="0"/>
        <w:jc w:val="center"/>
        <w:rPr>
          <w:b/>
          <w:color w:val="auto"/>
          <w:sz w:val="24"/>
          <w:szCs w:val="24"/>
        </w:rPr>
      </w:pPr>
      <w:r>
        <w:rPr>
          <w:rFonts w:hint="default"/>
          <w:b/>
          <w:color w:val="auto"/>
          <w:sz w:val="24"/>
          <w:szCs w:val="24"/>
        </w:rPr>
        <w:t xml:space="preserve">8. </w:t>
      </w:r>
      <w:r>
        <w:rPr>
          <w:b/>
          <w:color w:val="auto"/>
          <w:sz w:val="24"/>
          <w:szCs w:val="24"/>
        </w:rPr>
        <w:t>Pretendentu tiesības un pienākumi</w:t>
      </w:r>
    </w:p>
    <w:p>
      <w:pPr>
        <w:pStyle w:val="8"/>
        <w:numPr>
          <w:ilvl w:val="0"/>
          <w:numId w:val="25"/>
        </w:numPr>
        <w:tabs>
          <w:tab w:val="left" w:pos="426"/>
        </w:tabs>
        <w:ind w:left="425" w:leftChars="0" w:hanging="425" w:firstLineChars="0"/>
        <w:jc w:val="both"/>
        <w:rPr>
          <w:color w:val="auto"/>
          <w:sz w:val="24"/>
          <w:szCs w:val="24"/>
        </w:rPr>
      </w:pPr>
      <w:r>
        <w:rPr>
          <w:color w:val="auto"/>
          <w:sz w:val="24"/>
          <w:szCs w:val="24"/>
        </w:rPr>
        <w:t xml:space="preserve">Komisija nodrošina visiem ieinteresētajiem piegādātājiem iespēju iepazīties ar konkursa nolikumu Iepirkumu uzraudzības biroja tīmekļvietnē publicētajā paziņojumā par līgumu norādītajā nolikuma saņemšanas vietā un laikā. </w:t>
      </w:r>
    </w:p>
    <w:p>
      <w:pPr>
        <w:pStyle w:val="8"/>
        <w:numPr>
          <w:ilvl w:val="0"/>
          <w:numId w:val="25"/>
        </w:numPr>
        <w:tabs>
          <w:tab w:val="left" w:pos="426"/>
        </w:tabs>
        <w:ind w:left="425" w:leftChars="0" w:hanging="425" w:firstLineChars="0"/>
        <w:jc w:val="both"/>
        <w:rPr>
          <w:color w:val="auto"/>
          <w:sz w:val="24"/>
          <w:szCs w:val="24"/>
        </w:rPr>
      </w:pPr>
      <w:r>
        <w:rPr>
          <w:color w:val="auto"/>
          <w:sz w:val="24"/>
          <w:szCs w:val="24"/>
        </w:rPr>
        <w:t xml:space="preserve">Ar sava piedāvājuma iesniegšanu pretendents apliecina, ka piekrīt visiem konkursa nolikumā minētajiem noteikumiem, nosacījumiem un apņemas ievērot to kā pamatu piedāvājuma iesniegšanai un pasūtījuma izpildei (nolikuma </w:t>
      </w:r>
      <w:r>
        <w:rPr>
          <w:rFonts w:hint="default"/>
          <w:color w:val="auto"/>
          <w:sz w:val="24"/>
          <w:szCs w:val="24"/>
        </w:rPr>
        <w:t>1</w:t>
      </w:r>
      <w:r>
        <w:rPr>
          <w:color w:val="auto"/>
          <w:sz w:val="24"/>
          <w:szCs w:val="24"/>
        </w:rPr>
        <w:t>.pielikums).</w:t>
      </w:r>
    </w:p>
    <w:p>
      <w:pPr>
        <w:pStyle w:val="8"/>
        <w:numPr>
          <w:ilvl w:val="0"/>
          <w:numId w:val="25"/>
        </w:numPr>
        <w:tabs>
          <w:tab w:val="left" w:pos="426"/>
        </w:tabs>
        <w:ind w:left="425" w:leftChars="0" w:hanging="425" w:firstLineChars="0"/>
        <w:jc w:val="both"/>
        <w:rPr>
          <w:color w:val="auto"/>
          <w:sz w:val="24"/>
          <w:szCs w:val="24"/>
        </w:rPr>
      </w:pPr>
      <w:r>
        <w:rPr>
          <w:color w:val="auto"/>
          <w:sz w:val="24"/>
          <w:szCs w:val="24"/>
        </w:rPr>
        <w:t>Pretendentam ir pienākums sniegt atbildes uz komisijas pieprasījumiem par papildus informāciju, kas nepieciešama piedāvājumu noformējuma pārbaudei, pretendentu atlasei un piedāvājumu atbilstības pārbaudei.</w:t>
      </w:r>
    </w:p>
    <w:p>
      <w:pPr>
        <w:pStyle w:val="8"/>
        <w:numPr>
          <w:ilvl w:val="0"/>
          <w:numId w:val="25"/>
        </w:numPr>
        <w:tabs>
          <w:tab w:val="left" w:pos="720"/>
        </w:tabs>
        <w:ind w:left="425" w:leftChars="0" w:hanging="425" w:firstLineChars="0"/>
        <w:jc w:val="both"/>
        <w:rPr>
          <w:color w:val="auto"/>
          <w:sz w:val="24"/>
          <w:szCs w:val="24"/>
        </w:rPr>
      </w:pPr>
      <w:r>
        <w:rPr>
          <w:color w:val="auto"/>
          <w:sz w:val="24"/>
          <w:szCs w:val="24"/>
        </w:rPr>
        <w:t>Pretendenti, kuri piedalījušies konkursā, ir tiesīgi pārsūdzēt komisijas rīcību vai lēmumu normatīvajos aktos noteiktajā kārtībā.</w:t>
      </w:r>
    </w:p>
    <w:p>
      <w:pPr>
        <w:pStyle w:val="8"/>
        <w:ind w:left="425"/>
        <w:jc w:val="both"/>
        <w:rPr>
          <w:color w:val="FF0000"/>
          <w:sz w:val="24"/>
          <w:szCs w:val="24"/>
        </w:rPr>
      </w:pPr>
    </w:p>
    <w:p>
      <w:pPr>
        <w:pStyle w:val="8"/>
        <w:numPr>
          <w:numId w:val="0"/>
        </w:numPr>
        <w:ind w:left="357" w:leftChars="0"/>
        <w:jc w:val="center"/>
        <w:rPr>
          <w:b/>
          <w:color w:val="auto"/>
          <w:sz w:val="24"/>
          <w:szCs w:val="24"/>
        </w:rPr>
      </w:pPr>
      <w:r>
        <w:rPr>
          <w:rFonts w:hint="default"/>
          <w:b/>
          <w:color w:val="auto"/>
          <w:sz w:val="24"/>
          <w:szCs w:val="24"/>
        </w:rPr>
        <w:t xml:space="preserve">9. </w:t>
      </w:r>
      <w:r>
        <w:rPr>
          <w:b/>
          <w:color w:val="auto"/>
          <w:sz w:val="24"/>
          <w:szCs w:val="24"/>
        </w:rPr>
        <w:t>Līguma slēgšanas nosacījumi</w:t>
      </w:r>
    </w:p>
    <w:p>
      <w:pPr>
        <w:pStyle w:val="8"/>
        <w:numPr>
          <w:ilvl w:val="0"/>
          <w:numId w:val="26"/>
        </w:numPr>
        <w:tabs>
          <w:tab w:val="left" w:pos="720"/>
        </w:tabs>
        <w:ind w:left="425" w:leftChars="0" w:hanging="425" w:firstLineChars="0"/>
        <w:jc w:val="both"/>
        <w:rPr>
          <w:color w:val="auto"/>
          <w:sz w:val="24"/>
          <w:szCs w:val="24"/>
        </w:rPr>
      </w:pPr>
      <w:r>
        <w:rPr>
          <w:color w:val="auto"/>
          <w:sz w:val="24"/>
          <w:szCs w:val="24"/>
        </w:rPr>
        <w:t xml:space="preserve">Līguma projekts ir pievienots šim konkursa nolikumam (nolikuma </w:t>
      </w:r>
      <w:r>
        <w:rPr>
          <w:rFonts w:hint="default"/>
          <w:color w:val="auto"/>
          <w:sz w:val="24"/>
          <w:szCs w:val="24"/>
        </w:rPr>
        <w:t>6</w:t>
      </w:r>
      <w:r>
        <w:rPr>
          <w:color w:val="auto"/>
          <w:sz w:val="24"/>
          <w:szCs w:val="24"/>
        </w:rPr>
        <w:t>.pielikums) un ir šī nolikuma neatņemama sastāvdaļa.</w:t>
      </w:r>
    </w:p>
    <w:p>
      <w:pPr>
        <w:pStyle w:val="8"/>
        <w:numPr>
          <w:ilvl w:val="0"/>
          <w:numId w:val="26"/>
        </w:numPr>
        <w:ind w:left="425" w:leftChars="0" w:hanging="425" w:firstLineChars="0"/>
        <w:jc w:val="both"/>
        <w:rPr>
          <w:color w:val="auto"/>
          <w:sz w:val="24"/>
          <w:szCs w:val="24"/>
        </w:rPr>
      </w:pPr>
      <w:r>
        <w:rPr>
          <w:color w:val="auto"/>
          <w:sz w:val="24"/>
          <w:szCs w:val="24"/>
        </w:rPr>
        <w:t>Līgumu rakstveidā sagatavo Pasūtītājs un iesniedz to konkursa uzvarētājam.</w:t>
      </w:r>
    </w:p>
    <w:p>
      <w:pPr>
        <w:pStyle w:val="8"/>
        <w:numPr>
          <w:ilvl w:val="0"/>
          <w:numId w:val="26"/>
        </w:numPr>
        <w:ind w:left="425" w:leftChars="0" w:hanging="425" w:firstLineChars="0"/>
        <w:jc w:val="both"/>
        <w:rPr>
          <w:color w:val="auto"/>
          <w:sz w:val="24"/>
          <w:szCs w:val="24"/>
        </w:rPr>
      </w:pPr>
      <w:r>
        <w:rPr>
          <w:color w:val="auto"/>
          <w:sz w:val="24"/>
          <w:szCs w:val="24"/>
        </w:rPr>
        <w:t xml:space="preserve">Par atkāpšanos no līguma noteikumiem vai tā neizpildīšanu puses ir atbildīgas saskaņā ar līguma noteikumiem un Latvijas Republikas normatīvajiem aktiem.  </w:t>
      </w:r>
    </w:p>
    <w:p>
      <w:pPr>
        <w:pStyle w:val="8"/>
        <w:numPr>
          <w:ilvl w:val="0"/>
          <w:numId w:val="26"/>
        </w:numPr>
        <w:tabs>
          <w:tab w:val="left" w:pos="720"/>
        </w:tabs>
        <w:ind w:left="425" w:leftChars="0" w:hanging="425" w:firstLineChars="0"/>
        <w:jc w:val="both"/>
        <w:rPr>
          <w:color w:val="auto"/>
          <w:sz w:val="24"/>
          <w:szCs w:val="24"/>
        </w:rPr>
      </w:pPr>
      <w:r>
        <w:rPr>
          <w:color w:val="auto"/>
          <w:sz w:val="24"/>
          <w:szCs w:val="24"/>
        </w:rPr>
        <w:t xml:space="preserve">Ja iepirkuma uzvarētājs neparaksta līgumu </w:t>
      </w:r>
      <w:r>
        <w:rPr>
          <w:b/>
          <w:color w:val="auto"/>
          <w:sz w:val="24"/>
          <w:szCs w:val="24"/>
        </w:rPr>
        <w:t>10 (desmit) darba dienu</w:t>
      </w:r>
      <w:r>
        <w:rPr>
          <w:color w:val="auto"/>
          <w:sz w:val="24"/>
          <w:szCs w:val="24"/>
        </w:rPr>
        <w:t xml:space="preserve"> laikā no Pasūtītāja elektroniska uzaicinājuma (uzaicinājums tiek nosūtīts uz piedāvājumā norādītās pretendenta kontaktpersonas e-pasta adresi) saņemšanas brīža, tad Pasūtītājam ir tiesības pieņemt lēmumu slēgt līgumu ar nākamo pretendentu, kura piedāvājums atbilst visām prasībām un ir piedāvājums ar viszemāko cenu.</w:t>
      </w:r>
    </w:p>
    <w:p>
      <w:pPr>
        <w:numPr>
          <w:numId w:val="0"/>
        </w:numPr>
        <w:suppressAutoHyphens/>
        <w:spacing w:before="120" w:after="0" w:line="240" w:lineRule="auto"/>
        <w:ind w:leftChars="0"/>
        <w:contextualSpacing/>
        <w:jc w:val="center"/>
        <w:outlineLvl w:val="1"/>
        <w:rPr>
          <w:rFonts w:eastAsia="Times New Roman" w:cs="Times New Roman"/>
          <w:b/>
          <w:bCs/>
          <w:color w:val="auto"/>
          <w:szCs w:val="20"/>
        </w:rPr>
      </w:pPr>
      <w:r>
        <w:rPr>
          <w:rFonts w:hint="default" w:eastAsia="Times New Roman" w:cs="Times New Roman"/>
          <w:b/>
          <w:color w:val="auto"/>
          <w:szCs w:val="20"/>
        </w:rPr>
        <w:t xml:space="preserve">10. </w:t>
      </w:r>
      <w:r>
        <w:rPr>
          <w:rFonts w:eastAsia="Times New Roman" w:cs="Times New Roman"/>
          <w:b/>
          <w:color w:val="auto"/>
          <w:szCs w:val="20"/>
        </w:rPr>
        <w:t>Cita informācija</w:t>
      </w:r>
      <w:bookmarkEnd w:id="32"/>
    </w:p>
    <w:p>
      <w:pPr>
        <w:numPr>
          <w:ilvl w:val="0"/>
          <w:numId w:val="27"/>
        </w:numPr>
        <w:suppressAutoHyphens/>
        <w:spacing w:after="0" w:line="240" w:lineRule="auto"/>
        <w:ind w:left="425" w:leftChars="0" w:hanging="425" w:firstLineChars="0"/>
        <w:contextualSpacing/>
        <w:jc w:val="both"/>
        <w:rPr>
          <w:rFonts w:eastAsia="Times New Roman" w:cs="Times New Roman"/>
          <w:color w:val="auto"/>
          <w:szCs w:val="24"/>
          <w:lang w:eastAsia="ar-SA"/>
        </w:rPr>
      </w:pPr>
      <w:r>
        <w:rPr>
          <w:rFonts w:eastAsia="Times New Roman" w:cs="Times New Roman"/>
          <w:color w:val="auto"/>
          <w:szCs w:val="20"/>
        </w:rPr>
        <w:t>Pretendentam ir jāiesniedz piedāvājums par visu iepirkuma priekšmetu. Iepirkums nav sadalīts daļās.</w:t>
      </w:r>
    </w:p>
    <w:p>
      <w:pPr>
        <w:numPr>
          <w:ilvl w:val="0"/>
          <w:numId w:val="27"/>
        </w:numPr>
        <w:suppressAutoHyphens/>
        <w:spacing w:after="0" w:line="240" w:lineRule="auto"/>
        <w:ind w:left="425" w:leftChars="0" w:hanging="425" w:firstLineChars="0"/>
        <w:contextualSpacing/>
        <w:jc w:val="both"/>
        <w:rPr>
          <w:rFonts w:eastAsia="Times New Roman" w:cs="Times New Roman"/>
          <w:color w:val="auto"/>
          <w:szCs w:val="24"/>
          <w:lang w:eastAsia="ar-SA"/>
        </w:rPr>
      </w:pPr>
      <w:r>
        <w:rPr>
          <w:rFonts w:eastAsia="Times New Roman" w:cs="Times New Roman"/>
          <w:color w:val="auto"/>
          <w:szCs w:val="24"/>
          <w:lang w:eastAsia="ar-SA"/>
        </w:rPr>
        <w:t>Pasūtītājs un pretendents ar informāciju apmainās rakstiski latviešu valodā, nosūtot dokumentus pa pastu, elektroniski vai piegādājot personiski.</w:t>
      </w:r>
    </w:p>
    <w:p>
      <w:pPr>
        <w:numPr>
          <w:ilvl w:val="0"/>
          <w:numId w:val="27"/>
        </w:numPr>
        <w:suppressAutoHyphens/>
        <w:spacing w:after="0" w:line="240" w:lineRule="auto"/>
        <w:ind w:left="425" w:leftChars="0" w:hanging="425" w:firstLineChars="0"/>
        <w:contextualSpacing/>
        <w:jc w:val="both"/>
        <w:rPr>
          <w:rFonts w:eastAsia="Times New Roman" w:cs="Times New Roman"/>
          <w:color w:val="auto"/>
          <w:szCs w:val="24"/>
          <w:lang w:eastAsia="ar-SA"/>
        </w:rPr>
      </w:pPr>
      <w:r>
        <w:rPr>
          <w:rFonts w:eastAsia="Times New Roman" w:cs="Times New Roman"/>
          <w:color w:val="auto"/>
          <w:szCs w:val="24"/>
          <w:lang w:eastAsia="ar-SA"/>
        </w:rPr>
        <w:t>Pretendents sedz visus izdevumus, kas ir saistīti ar piedāvājuma sagatavošanu un iesniegšanu pasūtītājam.</w:t>
      </w:r>
    </w:p>
    <w:p>
      <w:pPr>
        <w:numPr>
          <w:ilvl w:val="0"/>
          <w:numId w:val="27"/>
        </w:numPr>
        <w:suppressAutoHyphens/>
        <w:spacing w:after="0" w:line="240" w:lineRule="auto"/>
        <w:ind w:left="425" w:leftChars="0" w:hanging="425" w:firstLineChars="0"/>
        <w:contextualSpacing/>
        <w:jc w:val="both"/>
        <w:rPr>
          <w:rFonts w:eastAsia="Times New Roman" w:cs="Times New Roman"/>
          <w:color w:val="auto"/>
          <w:szCs w:val="24"/>
          <w:lang w:eastAsia="ar-SA"/>
        </w:rPr>
      </w:pPr>
      <w:r>
        <w:rPr>
          <w:rFonts w:eastAsia="Times New Roman" w:cs="Times New Roman"/>
          <w:color w:val="auto"/>
          <w:szCs w:val="24"/>
          <w:lang w:eastAsia="ar-SA"/>
        </w:rPr>
        <w:t>Ja izraudzītais pretendents atsakās slēgt iepirkuma līgumu ar pasūtītāju, iepirkuma komisija ir tiesīga izvēlēties nākamo piedāvājumu ar zemāko cenu vai pieņem lēmumu izbeigt konkursu, neizvēloties nevienu piedāvājumu.</w:t>
      </w:r>
    </w:p>
    <w:p>
      <w:pPr>
        <w:numPr>
          <w:ilvl w:val="0"/>
          <w:numId w:val="27"/>
        </w:numPr>
        <w:suppressAutoHyphens/>
        <w:spacing w:after="0" w:line="240" w:lineRule="auto"/>
        <w:ind w:left="425" w:leftChars="0" w:hanging="425" w:firstLineChars="0"/>
        <w:contextualSpacing/>
        <w:jc w:val="both"/>
        <w:rPr>
          <w:rFonts w:eastAsia="Times New Roman" w:cs="Times New Roman"/>
          <w:color w:val="auto"/>
          <w:szCs w:val="24"/>
          <w:lang w:eastAsia="ar-SA"/>
        </w:rPr>
      </w:pPr>
      <w:r>
        <w:rPr>
          <w:rFonts w:eastAsia="Times New Roman" w:cs="Times New Roman"/>
          <w:color w:val="auto"/>
          <w:szCs w:val="24"/>
          <w:lang w:eastAsia="ar-SA"/>
        </w:rPr>
        <w:t>Ja ir iesniegts tikai viens piedāvājums, tad iepirkumu komisija var slēgt līgumu ar šo pretendentu tad, ja:</w:t>
      </w:r>
    </w:p>
    <w:p>
      <w:pPr>
        <w:numPr>
          <w:ilvl w:val="0"/>
          <w:numId w:val="27"/>
        </w:numPr>
        <w:suppressAutoHyphens/>
        <w:spacing w:after="0" w:line="240" w:lineRule="auto"/>
        <w:ind w:left="425" w:leftChars="0" w:hanging="425" w:firstLineChars="0"/>
        <w:contextualSpacing/>
        <w:jc w:val="both"/>
        <w:rPr>
          <w:rFonts w:eastAsia="Times New Roman" w:cs="Times New Roman"/>
          <w:color w:val="auto"/>
          <w:szCs w:val="24"/>
          <w:lang w:eastAsia="ar-SA"/>
        </w:rPr>
      </w:pPr>
      <w:r>
        <w:rPr>
          <w:rFonts w:eastAsia="Times New Roman" w:cs="Times New Roman"/>
          <w:color w:val="auto"/>
          <w:szCs w:val="24"/>
          <w:lang w:eastAsia="ar-SA"/>
        </w:rPr>
        <w:t>Iesniegtais piedāvājums atbilst nolikuma un tā pielikumu prasībām;</w:t>
      </w:r>
    </w:p>
    <w:p>
      <w:pPr>
        <w:numPr>
          <w:ilvl w:val="0"/>
          <w:numId w:val="27"/>
        </w:numPr>
        <w:suppressAutoHyphens/>
        <w:spacing w:after="0" w:line="240" w:lineRule="auto"/>
        <w:ind w:left="425" w:leftChars="0" w:hanging="425" w:firstLineChars="0"/>
        <w:contextualSpacing/>
        <w:jc w:val="both"/>
        <w:rPr>
          <w:rFonts w:eastAsia="Times New Roman" w:cs="Times New Roman"/>
          <w:color w:val="auto"/>
          <w:szCs w:val="24"/>
          <w:lang w:eastAsia="ar-SA"/>
        </w:rPr>
      </w:pPr>
      <w:r>
        <w:rPr>
          <w:rFonts w:eastAsia="Times New Roman" w:cs="Times New Roman"/>
          <w:color w:val="auto"/>
          <w:szCs w:val="24"/>
          <w:lang w:eastAsia="ar-SA"/>
        </w:rPr>
        <w:t>Uz pretendentu neattiecas neviens no Publisko iepirkumu likumā noteiktajiem izslēgšanas nosacījumiem.</w:t>
      </w:r>
    </w:p>
    <w:p>
      <w:pPr>
        <w:numPr>
          <w:ilvl w:val="0"/>
          <w:numId w:val="27"/>
        </w:numPr>
        <w:suppressAutoHyphens/>
        <w:spacing w:after="0" w:line="240" w:lineRule="auto"/>
        <w:ind w:left="425" w:leftChars="0" w:hanging="425" w:firstLineChars="0"/>
        <w:contextualSpacing/>
        <w:jc w:val="both"/>
        <w:rPr>
          <w:rFonts w:eastAsia="Times New Roman" w:cs="Times New Roman"/>
          <w:color w:val="auto"/>
          <w:szCs w:val="24"/>
          <w:lang w:eastAsia="ar-SA"/>
        </w:rPr>
      </w:pPr>
      <w:r>
        <w:rPr>
          <w:rFonts w:eastAsia="Times New Roman" w:cs="Times New Roman"/>
          <w:color w:val="auto"/>
          <w:szCs w:val="24"/>
          <w:lang w:eastAsia="ar-SA"/>
        </w:rPr>
        <w:t>Iepirkuma līgumu slēdz saskaņā ar nolikuma pielikumā pievienoto līguma projektu.</w:t>
      </w:r>
    </w:p>
    <w:p>
      <w:pPr>
        <w:numPr>
          <w:ilvl w:val="0"/>
          <w:numId w:val="27"/>
        </w:numPr>
        <w:suppressAutoHyphens/>
        <w:spacing w:after="0" w:line="240" w:lineRule="auto"/>
        <w:ind w:left="425" w:leftChars="0" w:hanging="425" w:firstLineChars="0"/>
        <w:contextualSpacing/>
        <w:jc w:val="both"/>
        <w:rPr>
          <w:rFonts w:eastAsia="Times New Roman" w:cs="Times New Roman"/>
          <w:color w:val="auto"/>
          <w:szCs w:val="24"/>
          <w:lang w:eastAsia="ar-SA"/>
        </w:rPr>
      </w:pPr>
      <w:r>
        <w:rPr>
          <w:rFonts w:eastAsia="Times New Roman" w:cs="Times New Roman"/>
          <w:color w:val="auto"/>
          <w:szCs w:val="24"/>
          <w:lang w:eastAsia="ar-SA"/>
        </w:rPr>
        <w:t>Sagatavojot piedāvājumu, pretendentiem pašiem ir jāizvērtē piegādājamās preces (preču daudzumu saraksti un citi iepirkuma dokumenti), un ir jāparedz visu līguma izmaksu (par piegādi un uzstādīšanu) lielums atbilstoši līguma projektā paredzētajam, kas ir jāiekļauj piedāvājuma cenā.</w:t>
      </w:r>
    </w:p>
    <w:p>
      <w:pPr>
        <w:tabs>
          <w:tab w:val="left" w:pos="0"/>
          <w:tab w:val="left" w:pos="284"/>
        </w:tabs>
        <w:suppressAutoHyphens/>
        <w:spacing w:after="0" w:line="240" w:lineRule="auto"/>
        <w:jc w:val="center"/>
        <w:rPr>
          <w:rFonts w:eastAsia="Times New Roman" w:cs="Times New Roman"/>
          <w:b/>
          <w:bCs/>
          <w:color w:val="FF0000"/>
          <w:szCs w:val="24"/>
          <w:u w:val="single"/>
          <w:lang w:eastAsia="ar-SA"/>
        </w:rPr>
      </w:pPr>
    </w:p>
    <w:p>
      <w:pPr>
        <w:tabs>
          <w:tab w:val="left" w:pos="426"/>
        </w:tabs>
        <w:suppressAutoHyphens/>
        <w:spacing w:after="0" w:line="240" w:lineRule="auto"/>
        <w:jc w:val="center"/>
        <w:rPr>
          <w:rFonts w:eastAsia="Times New Roman" w:cs="Times New Roman"/>
          <w:b/>
          <w:bCs/>
          <w:color w:val="auto"/>
          <w:szCs w:val="24"/>
          <w:lang w:eastAsia="ar-SA"/>
        </w:rPr>
      </w:pPr>
      <w:r>
        <w:rPr>
          <w:rFonts w:hint="default" w:eastAsia="Times New Roman" w:cs="Times New Roman"/>
          <w:b/>
          <w:bCs/>
          <w:color w:val="auto"/>
          <w:szCs w:val="24"/>
          <w:lang w:eastAsia="ar-SA"/>
        </w:rPr>
        <w:t xml:space="preserve">11. </w:t>
      </w:r>
      <w:r>
        <w:rPr>
          <w:rFonts w:eastAsia="Times New Roman" w:cs="Times New Roman"/>
          <w:b/>
          <w:bCs/>
          <w:color w:val="auto"/>
          <w:szCs w:val="24"/>
          <w:lang w:eastAsia="ar-SA"/>
        </w:rPr>
        <w:t>Pielikumu saraksts</w:t>
      </w:r>
    </w:p>
    <w:p>
      <w:pPr>
        <w:suppressAutoHyphens/>
        <w:spacing w:after="0" w:line="240" w:lineRule="auto"/>
        <w:ind w:firstLine="567"/>
        <w:rPr>
          <w:rFonts w:eastAsia="Times New Roman" w:cs="Times New Roman"/>
          <w:bCs/>
          <w:color w:val="auto"/>
          <w:szCs w:val="24"/>
          <w:lang w:eastAsia="ar-SA"/>
        </w:rPr>
      </w:pPr>
      <w:r>
        <w:rPr>
          <w:rFonts w:eastAsia="Times New Roman" w:cs="Times New Roman"/>
          <w:bCs/>
          <w:color w:val="auto"/>
          <w:szCs w:val="24"/>
          <w:lang w:eastAsia="ar-SA"/>
        </w:rPr>
        <w:t>1.pielikums: Pieteikums dalībai iepirkumā;</w:t>
      </w:r>
    </w:p>
    <w:p>
      <w:pPr>
        <w:suppressAutoHyphens/>
        <w:spacing w:after="0" w:line="240" w:lineRule="auto"/>
        <w:ind w:firstLine="567"/>
        <w:rPr>
          <w:rFonts w:eastAsia="Times New Roman" w:cs="Times New Roman"/>
          <w:bCs/>
          <w:color w:val="auto"/>
          <w:szCs w:val="24"/>
          <w:lang w:eastAsia="ar-SA"/>
        </w:rPr>
      </w:pPr>
      <w:r>
        <w:rPr>
          <w:rFonts w:eastAsia="Times New Roman" w:cs="Times New Roman"/>
          <w:bCs/>
          <w:color w:val="auto"/>
          <w:szCs w:val="24"/>
          <w:lang w:eastAsia="ar-SA"/>
        </w:rPr>
        <w:t>2.pielikums: Pretendenta Finanšu piedāvājums;</w:t>
      </w:r>
    </w:p>
    <w:p>
      <w:pPr>
        <w:suppressAutoHyphens/>
        <w:spacing w:after="0" w:line="240" w:lineRule="auto"/>
        <w:ind w:firstLine="567"/>
        <w:rPr>
          <w:rFonts w:hint="default" w:eastAsia="Times New Roman" w:cs="Times New Roman"/>
          <w:bCs/>
          <w:color w:val="auto"/>
          <w:szCs w:val="24"/>
          <w:lang w:eastAsia="ar-SA"/>
        </w:rPr>
      </w:pPr>
      <w:r>
        <w:rPr>
          <w:rFonts w:eastAsia="Times New Roman" w:cs="Times New Roman"/>
          <w:bCs/>
          <w:color w:val="auto"/>
          <w:szCs w:val="24"/>
          <w:lang w:eastAsia="ar-SA"/>
        </w:rPr>
        <w:t>3.pielikums</w:t>
      </w:r>
      <w:r>
        <w:rPr>
          <w:rFonts w:hint="default" w:eastAsia="Times New Roman" w:cs="Times New Roman"/>
          <w:bCs/>
          <w:color w:val="auto"/>
          <w:szCs w:val="24"/>
          <w:lang w:eastAsia="ar-SA"/>
        </w:rPr>
        <w:t>: Pretendenta finanšu apgrozījums;</w:t>
      </w:r>
    </w:p>
    <w:p>
      <w:pPr>
        <w:suppressAutoHyphens/>
        <w:spacing w:after="0" w:line="240" w:lineRule="auto"/>
        <w:ind w:firstLine="567"/>
        <w:rPr>
          <w:rFonts w:hint="default" w:eastAsia="Times New Roman" w:cs="Times New Roman"/>
          <w:bCs/>
          <w:color w:val="auto"/>
          <w:szCs w:val="24"/>
          <w:lang w:eastAsia="ar-SA"/>
        </w:rPr>
      </w:pPr>
      <w:r>
        <w:rPr>
          <w:rFonts w:hint="default" w:eastAsia="Times New Roman" w:cs="Times New Roman"/>
          <w:bCs/>
          <w:color w:val="auto"/>
          <w:szCs w:val="24"/>
          <w:lang w:eastAsia="ar-SA"/>
        </w:rPr>
        <w:t>4.pielikums: Pretendenta pieredzes apliecinājums;</w:t>
      </w:r>
    </w:p>
    <w:p>
      <w:pPr>
        <w:suppressAutoHyphens/>
        <w:spacing w:after="0" w:line="240" w:lineRule="auto"/>
        <w:ind w:firstLine="567"/>
        <w:rPr>
          <w:rFonts w:eastAsia="Times New Roman" w:cs="Times New Roman"/>
          <w:b w:val="0"/>
          <w:bCs/>
          <w:color w:val="auto"/>
          <w:sz w:val="24"/>
          <w:szCs w:val="24"/>
          <w:lang w:eastAsia="ar-SA"/>
        </w:rPr>
      </w:pPr>
      <w:r>
        <w:rPr>
          <w:rFonts w:hint="default" w:eastAsia="Times New Roman" w:cs="Times New Roman"/>
          <w:bCs/>
          <w:color w:val="auto"/>
          <w:szCs w:val="24"/>
          <w:lang w:eastAsia="ar-SA"/>
        </w:rPr>
        <w:t>5</w:t>
      </w:r>
      <w:r>
        <w:rPr>
          <w:rFonts w:eastAsia="Times New Roman" w:cs="Times New Roman"/>
          <w:bCs/>
          <w:color w:val="auto"/>
          <w:szCs w:val="24"/>
          <w:lang w:eastAsia="ar-SA"/>
        </w:rPr>
        <w:t>.pielikums</w:t>
      </w:r>
      <w:r>
        <w:rPr>
          <w:rFonts w:hint="default" w:eastAsia="Times New Roman" w:cs="Times New Roman"/>
          <w:bCs/>
          <w:color w:val="auto"/>
          <w:szCs w:val="24"/>
          <w:lang w:eastAsia="ar-SA"/>
        </w:rPr>
        <w:t>:</w:t>
      </w:r>
      <w:r>
        <w:rPr>
          <w:rFonts w:eastAsia="Times New Roman" w:cs="Times New Roman"/>
          <w:bCs/>
          <w:color w:val="auto"/>
          <w:szCs w:val="24"/>
          <w:lang w:eastAsia="ar-SA"/>
        </w:rPr>
        <w:t xml:space="preserve"> Tehniskais</w:t>
      </w:r>
      <w:r>
        <w:rPr>
          <w:rFonts w:eastAsia="Times New Roman" w:cs="Times New Roman"/>
          <w:b w:val="0"/>
          <w:bCs/>
          <w:color w:val="auto"/>
          <w:sz w:val="24"/>
          <w:szCs w:val="24"/>
          <w:lang w:eastAsia="ar-SA"/>
        </w:rPr>
        <w:t xml:space="preserve"> piedāvājums;</w:t>
      </w:r>
    </w:p>
    <w:p>
      <w:pPr>
        <w:suppressAutoHyphens/>
        <w:spacing w:after="0" w:line="240" w:lineRule="auto"/>
        <w:ind w:firstLine="567"/>
        <w:rPr>
          <w:rFonts w:hint="default"/>
          <w:b w:val="0"/>
          <w:bCs/>
          <w:color w:val="auto"/>
          <w:sz w:val="24"/>
          <w:szCs w:val="24"/>
        </w:rPr>
      </w:pPr>
      <w:r>
        <w:rPr>
          <w:rFonts w:hint="default" w:eastAsia="Times New Roman" w:cs="Times New Roman"/>
          <w:b w:val="0"/>
          <w:bCs/>
          <w:color w:val="auto"/>
          <w:sz w:val="24"/>
          <w:szCs w:val="24"/>
          <w:lang w:eastAsia="ar-SA"/>
        </w:rPr>
        <w:t xml:space="preserve">5.1.pielikums: </w:t>
      </w:r>
      <w:r>
        <w:rPr>
          <w:b w:val="0"/>
          <w:bCs/>
          <w:color w:val="auto"/>
          <w:sz w:val="24"/>
          <w:szCs w:val="24"/>
        </w:rPr>
        <w:t>Pārbaudāmo objektu adreses, un tehniskie raksturlielumi</w:t>
      </w:r>
      <w:r>
        <w:rPr>
          <w:rFonts w:hint="default"/>
          <w:b w:val="0"/>
          <w:bCs/>
          <w:color w:val="auto"/>
          <w:sz w:val="24"/>
          <w:szCs w:val="24"/>
        </w:rPr>
        <w:t>;</w:t>
      </w:r>
    </w:p>
    <w:p>
      <w:pPr>
        <w:suppressAutoHyphens/>
        <w:spacing w:after="0" w:line="240" w:lineRule="auto"/>
        <w:ind w:firstLine="567"/>
        <w:rPr>
          <w:rFonts w:hint="default"/>
          <w:b w:val="0"/>
          <w:bCs/>
          <w:color w:val="auto"/>
          <w:sz w:val="24"/>
          <w:szCs w:val="24"/>
          <w:lang w:eastAsia="ar-SA"/>
        </w:rPr>
      </w:pPr>
      <w:r>
        <w:rPr>
          <w:rFonts w:hint="default"/>
          <w:b w:val="0"/>
          <w:bCs/>
          <w:color w:val="auto"/>
          <w:sz w:val="24"/>
          <w:szCs w:val="24"/>
        </w:rPr>
        <w:t>5.2.pielikums: Tehniskais piedāvājums;</w:t>
      </w:r>
    </w:p>
    <w:p>
      <w:pPr>
        <w:suppressAutoHyphens/>
        <w:spacing w:after="0" w:line="240" w:lineRule="auto"/>
        <w:ind w:firstLine="567"/>
        <w:rPr>
          <w:rFonts w:ascii="Times New Roman" w:hAnsi="Times New Roman" w:eastAsia="SimSun"/>
          <w:color w:val="auto"/>
          <w:szCs w:val="24"/>
          <w:lang w:eastAsia="zh-CN"/>
        </w:rPr>
      </w:pPr>
      <w:r>
        <w:rPr>
          <w:rFonts w:hint="default" w:eastAsia="Times New Roman" w:cs="Times New Roman"/>
          <w:bCs/>
          <w:color w:val="auto"/>
          <w:szCs w:val="24"/>
          <w:lang w:eastAsia="ar-SA"/>
        </w:rPr>
        <w:t>6</w:t>
      </w:r>
      <w:r>
        <w:rPr>
          <w:rFonts w:eastAsia="Times New Roman" w:cs="Times New Roman"/>
          <w:bCs/>
          <w:color w:val="auto"/>
          <w:szCs w:val="24"/>
          <w:lang w:eastAsia="ar-SA"/>
        </w:rPr>
        <w:t>.pielikums:</w:t>
      </w:r>
      <w:r>
        <w:rPr>
          <w:rFonts w:hint="default" w:eastAsia="Times New Roman" w:cs="Times New Roman"/>
          <w:bCs/>
          <w:color w:val="auto"/>
          <w:szCs w:val="24"/>
          <w:lang w:eastAsia="ar-SA"/>
        </w:rPr>
        <w:t xml:space="preserve"> </w:t>
      </w:r>
      <w:r>
        <w:rPr>
          <w:rFonts w:eastAsia="Times New Roman" w:cs="Times New Roman"/>
          <w:bCs/>
          <w:color w:val="auto"/>
          <w:szCs w:val="24"/>
          <w:lang w:eastAsia="ar-SA"/>
        </w:rPr>
        <w:t>Iepirkuma līguma projekts</w:t>
      </w:r>
      <w:r>
        <w:rPr>
          <w:rFonts w:ascii="Times New Roman" w:hAnsi="Times New Roman" w:eastAsia="SimSun"/>
          <w:color w:val="auto"/>
          <w:szCs w:val="24"/>
          <w:lang w:eastAsia="zh-CN"/>
        </w:rPr>
        <w:t>.</w:t>
      </w:r>
    </w:p>
    <w:p>
      <w:pPr>
        <w:suppressAutoHyphens/>
        <w:spacing w:after="0" w:line="240" w:lineRule="auto"/>
        <w:jc w:val="right"/>
        <w:rPr>
          <w:rFonts w:eastAsia="Times New Roman" w:cs="Times New Roman"/>
          <w:bCs/>
          <w:color w:val="auto"/>
          <w:sz w:val="22"/>
          <w:lang w:eastAsia="ar-SA"/>
        </w:rPr>
      </w:pPr>
      <w:r>
        <w:rPr>
          <w:rFonts w:eastAsia="Times New Roman" w:cs="Times New Roman"/>
          <w:bCs/>
          <w:color w:val="auto"/>
          <w:sz w:val="22"/>
          <w:lang w:eastAsia="ar-SA"/>
        </w:rPr>
        <w:t xml:space="preserve">Nolikuma pielikums Nr.1 </w:t>
      </w:r>
    </w:p>
    <w:p>
      <w:pPr>
        <w:suppressAutoHyphens/>
        <w:spacing w:after="0" w:line="240" w:lineRule="auto"/>
        <w:jc w:val="right"/>
        <w:rPr>
          <w:rFonts w:eastAsia="Times New Roman" w:cs="Times New Roman"/>
          <w:iCs/>
          <w:color w:val="auto"/>
          <w:sz w:val="22"/>
          <w:lang w:eastAsia="ar-SA"/>
        </w:rPr>
      </w:pPr>
      <w:r>
        <w:rPr>
          <w:rFonts w:eastAsia="Times New Roman" w:cs="Times New Roman"/>
          <w:color w:val="auto"/>
          <w:sz w:val="22"/>
          <w:lang w:eastAsia="ar-SA"/>
        </w:rPr>
        <w:t xml:space="preserve">SIA “DOBELES NAMSAIMNIEKS” izsludinātajā </w:t>
      </w:r>
      <w:r>
        <w:rPr>
          <w:rFonts w:eastAsia="Times New Roman" w:cs="Times New Roman"/>
          <w:iCs/>
          <w:color w:val="auto"/>
          <w:sz w:val="22"/>
          <w:lang w:eastAsia="ar-SA"/>
        </w:rPr>
        <w:t xml:space="preserve">iepirkumā </w:t>
      </w:r>
    </w:p>
    <w:p>
      <w:pPr>
        <w:suppressAutoHyphens/>
        <w:spacing w:after="0" w:line="240" w:lineRule="auto"/>
        <w:jc w:val="right"/>
        <w:rPr>
          <w:rFonts w:eastAsia="Times New Roman" w:cs="Times New Roman"/>
          <w:bCs/>
          <w:color w:val="auto"/>
          <w:sz w:val="22"/>
          <w:lang w:eastAsia="ar-SA"/>
        </w:rPr>
      </w:pPr>
      <w:r>
        <w:rPr>
          <w:rFonts w:eastAsia="Times New Roman" w:cs="Times New Roman"/>
          <w:iCs/>
          <w:color w:val="auto"/>
          <w:sz w:val="22"/>
          <w:lang w:eastAsia="ar-SA"/>
        </w:rPr>
        <w:t xml:space="preserve">ID Nr. </w:t>
      </w:r>
      <w:r>
        <w:rPr>
          <w:rFonts w:eastAsia="Times New Roman" w:cs="Times New Roman"/>
          <w:color w:val="auto"/>
          <w:sz w:val="22"/>
          <w:lang w:eastAsia="ar-SA"/>
        </w:rPr>
        <w:t>SIA DN 20</w:t>
      </w:r>
      <w:r>
        <w:rPr>
          <w:rFonts w:hint="default" w:eastAsia="Times New Roman" w:cs="Times New Roman"/>
          <w:color w:val="auto"/>
          <w:sz w:val="22"/>
          <w:lang w:eastAsia="ar-SA"/>
        </w:rPr>
        <w:t>20</w:t>
      </w:r>
      <w:r>
        <w:rPr>
          <w:rFonts w:eastAsia="Times New Roman" w:cs="Times New Roman"/>
          <w:color w:val="auto"/>
          <w:sz w:val="22"/>
          <w:lang w:eastAsia="ar-SA"/>
        </w:rPr>
        <w:t>/</w:t>
      </w:r>
      <w:r>
        <w:rPr>
          <w:rFonts w:hint="default" w:eastAsia="Times New Roman" w:cs="Times New Roman"/>
          <w:color w:val="auto"/>
          <w:sz w:val="22"/>
          <w:lang w:eastAsia="ar-SA"/>
        </w:rPr>
        <w:t>12</w:t>
      </w:r>
    </w:p>
    <w:p>
      <w:pPr>
        <w:keepNext/>
        <w:spacing w:after="0" w:line="240" w:lineRule="auto"/>
        <w:jc w:val="both"/>
        <w:outlineLvl w:val="2"/>
        <w:rPr>
          <w:rFonts w:eastAsia="Times New Roman" w:cs="Times New Roman"/>
          <w:color w:val="auto"/>
          <w:szCs w:val="24"/>
        </w:rPr>
      </w:pPr>
    </w:p>
    <w:p>
      <w:pPr>
        <w:jc w:val="center"/>
        <w:rPr>
          <w:b/>
          <w:caps/>
          <w:color w:val="auto"/>
          <w:sz w:val="28"/>
          <w:szCs w:val="28"/>
        </w:rPr>
      </w:pPr>
      <w:r>
        <w:rPr>
          <w:b/>
          <w:caps/>
          <w:color w:val="auto"/>
          <w:sz w:val="28"/>
          <w:szCs w:val="28"/>
        </w:rPr>
        <w:t>Pretendenta pieteikums</w:t>
      </w:r>
    </w:p>
    <w:p>
      <w:pPr>
        <w:jc w:val="center"/>
        <w:rPr>
          <w:color w:val="auto"/>
        </w:rPr>
      </w:pPr>
    </w:p>
    <w:p>
      <w:pPr>
        <w:jc w:val="both"/>
        <w:rPr>
          <w:rFonts w:eastAsia="Calibri" w:cs="Calibri"/>
          <w:b/>
          <w:i/>
          <w:color w:val="auto"/>
        </w:rPr>
      </w:pPr>
      <w:r>
        <w:rPr>
          <w:rFonts w:hint="default"/>
          <w:color w:val="auto"/>
        </w:rPr>
        <w:t>Iepirkumam</w:t>
      </w:r>
      <w:r>
        <w:rPr>
          <w:color w:val="auto"/>
        </w:rPr>
        <w:t xml:space="preserve"> </w:t>
      </w:r>
      <w:r>
        <w:rPr>
          <w:rFonts w:eastAsia="Calibri" w:cs="Calibri"/>
          <w:b/>
          <w:i/>
          <w:color w:val="auto"/>
        </w:rPr>
        <w:t>“</w:t>
      </w:r>
      <w:r>
        <w:rPr>
          <w:b/>
          <w:bCs/>
          <w:color w:val="auto"/>
        </w:rPr>
        <w:t>Elektroapgādes sistēmu mērījumi SIA “DOBELES NAMSAIMNIEKS” apsaimniekojamos objektos</w:t>
      </w:r>
      <w:r>
        <w:rPr>
          <w:b/>
          <w:color w:val="auto"/>
        </w:rPr>
        <w:t xml:space="preserve">” </w:t>
      </w:r>
    </w:p>
    <w:p>
      <w:pPr>
        <w:spacing w:before="60" w:after="60"/>
        <w:jc w:val="both"/>
        <w:rPr>
          <w:color w:val="auto"/>
          <w:szCs w:val="20"/>
        </w:rPr>
      </w:pPr>
    </w:p>
    <w:p>
      <w:pPr>
        <w:spacing w:before="60" w:after="60"/>
        <w:jc w:val="both"/>
        <w:rPr>
          <w:color w:val="auto"/>
        </w:rPr>
      </w:pPr>
      <w:r>
        <w:rPr>
          <w:color w:val="auto"/>
        </w:rPr>
        <w:t>Saskaņā ar iepirkuma nolikuma noteikumiem es, apakšā parakstījies, apliecinu, ka:</w:t>
      </w:r>
    </w:p>
    <w:p>
      <w:pPr>
        <w:pStyle w:val="8"/>
        <w:numPr>
          <w:ilvl w:val="0"/>
          <w:numId w:val="28"/>
        </w:numPr>
        <w:spacing w:before="120" w:after="120"/>
        <w:ind w:left="284" w:hanging="284"/>
        <w:jc w:val="both"/>
        <w:rPr>
          <w:color w:val="auto"/>
        </w:rPr>
      </w:pPr>
      <w:r>
        <w:rPr>
          <w:i/>
          <w:color w:val="auto"/>
        </w:rPr>
        <w:t>&lt;Pretendenta nosaukums&gt;</w:t>
      </w:r>
      <w:r>
        <w:rPr>
          <w:color w:val="auto"/>
        </w:rPr>
        <w:t xml:space="preserve"> (turpmāk – pretendents) piekrīt iepirkuma nolikuma noteikumiem, tai skaitā tehniskajai specifikācijai un garantē nolikuma prasību izpildi. Nolikums ir skaidrs un saprotams. Iesniedzot piedāvājumu, pretendents pilnībā atzīst visus nolikumā ietvertos nosacījumus;</w:t>
      </w:r>
    </w:p>
    <w:p>
      <w:pPr>
        <w:pStyle w:val="8"/>
        <w:numPr>
          <w:ilvl w:val="0"/>
          <w:numId w:val="28"/>
        </w:numPr>
        <w:tabs>
          <w:tab w:val="left" w:pos="851"/>
        </w:tabs>
        <w:spacing w:before="120" w:after="120"/>
        <w:ind w:left="284" w:hanging="284"/>
        <w:jc w:val="both"/>
        <w:rPr>
          <w:color w:val="auto"/>
        </w:rPr>
      </w:pPr>
      <w:r>
        <w:rPr>
          <w:color w:val="auto"/>
        </w:rPr>
        <w:t>pieteikumam pievienotie dokumenti veido šo piedāvājumu;</w:t>
      </w:r>
    </w:p>
    <w:p>
      <w:pPr>
        <w:pStyle w:val="8"/>
        <w:numPr>
          <w:ilvl w:val="0"/>
          <w:numId w:val="28"/>
        </w:numPr>
        <w:spacing w:before="120" w:after="120"/>
        <w:ind w:left="426" w:hanging="426"/>
        <w:jc w:val="both"/>
        <w:rPr>
          <w:color w:val="auto"/>
        </w:rPr>
      </w:pPr>
      <w:r>
        <w:rPr>
          <w:color w:val="auto"/>
        </w:rPr>
        <w:t>visas piedāvājumā iekļautās dokumentu kopijas, kas piedāvājumā atzīmētas ar atbilstošu atzīmi „KOPIJA PAREIZA”, atbilst dokumentu oriģināliem;</w:t>
      </w:r>
    </w:p>
    <w:p>
      <w:pPr>
        <w:pStyle w:val="8"/>
        <w:numPr>
          <w:ilvl w:val="0"/>
          <w:numId w:val="28"/>
        </w:numPr>
        <w:tabs>
          <w:tab w:val="left" w:pos="0"/>
          <w:tab w:val="left" w:pos="284"/>
        </w:tabs>
        <w:spacing w:before="120" w:after="120"/>
        <w:ind w:left="426" w:hanging="426"/>
        <w:jc w:val="both"/>
        <w:rPr>
          <w:color w:val="auto"/>
        </w:rPr>
      </w:pPr>
      <w:r>
        <w:rPr>
          <w:color w:val="auto"/>
        </w:rPr>
        <w:t>piekrītam nolikumam pievienotā līguma projekta noteikumiem, un mūsu piedāvājuma akceptēšanas gadījumā piekrītam slēgt iepirkuma līgumu saskaņā ar šo līguma projektu;</w:t>
      </w:r>
    </w:p>
    <w:p>
      <w:pPr>
        <w:pStyle w:val="8"/>
        <w:numPr>
          <w:ilvl w:val="0"/>
          <w:numId w:val="28"/>
        </w:numPr>
        <w:tabs>
          <w:tab w:val="left" w:pos="426"/>
        </w:tabs>
        <w:spacing w:before="120" w:after="120"/>
        <w:ind w:left="284" w:hanging="284"/>
        <w:jc w:val="both"/>
        <w:rPr>
          <w:color w:val="auto"/>
        </w:rPr>
      </w:pPr>
      <w:r>
        <w:rPr>
          <w:color w:val="auto"/>
        </w:rPr>
        <w:t>visas piedāvājumā sniegtās ziņas ir patiesas.</w:t>
      </w:r>
    </w:p>
    <w:p>
      <w:pPr>
        <w:jc w:val="both"/>
        <w:rPr>
          <w:color w:val="auto"/>
        </w:rPr>
      </w:pPr>
      <w:r>
        <w:rPr>
          <w:color w:val="auto"/>
        </w:rPr>
        <w:t xml:space="preserve"> Informācija par pretendentu:</w:t>
      </w:r>
    </w:p>
    <w:tbl>
      <w:tblPr>
        <w:tblW w:w="96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577"/>
        <w:gridCol w:w="2544"/>
        <w:gridCol w:w="3656"/>
        <w:gridCol w:w="2718"/>
        <w:gridCol w:w="1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gridAfter w:val="1"/>
          <w:wAfter w:w="153" w:type="dxa"/>
        </w:trPr>
        <w:tc>
          <w:tcPr>
            <w:tcW w:w="577" w:type="dxa"/>
            <w:vAlign w:val="top"/>
          </w:tcPr>
          <w:p>
            <w:pPr>
              <w:rPr>
                <w:color w:val="auto"/>
              </w:rPr>
            </w:pPr>
            <w:r>
              <w:rPr>
                <w:color w:val="auto"/>
              </w:rPr>
              <w:t>1.</w:t>
            </w:r>
          </w:p>
        </w:tc>
        <w:tc>
          <w:tcPr>
            <w:tcW w:w="8918" w:type="dxa"/>
            <w:gridSpan w:val="3"/>
            <w:vAlign w:val="top"/>
          </w:tcPr>
          <w:p>
            <w:pPr>
              <w:ind w:firstLine="1"/>
              <w:rPr>
                <w:color w:val="auto"/>
              </w:rPr>
            </w:pPr>
            <w:r>
              <w:rPr>
                <w:color w:val="auto"/>
              </w:rPr>
              <w:t>Nosaukums: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577" w:type="dxa"/>
            <w:vAlign w:val="top"/>
          </w:tcPr>
          <w:p>
            <w:pPr>
              <w:rPr>
                <w:color w:val="auto"/>
              </w:rPr>
            </w:pPr>
            <w:r>
              <w:rPr>
                <w:color w:val="auto"/>
              </w:rPr>
              <w:t>2.</w:t>
            </w:r>
          </w:p>
        </w:tc>
        <w:tc>
          <w:tcPr>
            <w:tcW w:w="8918" w:type="dxa"/>
            <w:gridSpan w:val="3"/>
            <w:vAlign w:val="top"/>
          </w:tcPr>
          <w:p>
            <w:pPr>
              <w:ind w:firstLine="1"/>
              <w:rPr>
                <w:color w:val="auto"/>
              </w:rPr>
            </w:pPr>
            <w:r>
              <w:rPr>
                <w:color w:val="auto"/>
              </w:rPr>
              <w:t>Adrese: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577" w:type="dxa"/>
            <w:vAlign w:val="top"/>
          </w:tcPr>
          <w:p>
            <w:pPr>
              <w:rPr>
                <w:color w:val="auto"/>
              </w:rPr>
            </w:pPr>
            <w:r>
              <w:rPr>
                <w:color w:val="auto"/>
              </w:rPr>
              <w:t>3.</w:t>
            </w:r>
          </w:p>
        </w:tc>
        <w:tc>
          <w:tcPr>
            <w:tcW w:w="8918" w:type="dxa"/>
            <w:gridSpan w:val="3"/>
            <w:vAlign w:val="top"/>
          </w:tcPr>
          <w:p>
            <w:pPr>
              <w:ind w:firstLine="1"/>
              <w:rPr>
                <w:color w:val="auto"/>
              </w:rPr>
            </w:pPr>
            <w:r>
              <w:rPr>
                <w:color w:val="auto"/>
              </w:rPr>
              <w:t>Reģistrēts Latvijas Republikas Uzņēmumu reģistrā ar reģistrācijas numuru: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577" w:type="dxa"/>
            <w:vAlign w:val="top"/>
          </w:tcPr>
          <w:p>
            <w:pPr>
              <w:rPr>
                <w:color w:val="auto"/>
              </w:rPr>
            </w:pPr>
            <w:r>
              <w:rPr>
                <w:color w:val="auto"/>
              </w:rPr>
              <w:t>4.</w:t>
            </w:r>
          </w:p>
        </w:tc>
        <w:tc>
          <w:tcPr>
            <w:tcW w:w="8918" w:type="dxa"/>
            <w:gridSpan w:val="3"/>
            <w:vAlign w:val="top"/>
          </w:tcPr>
          <w:p>
            <w:pPr>
              <w:ind w:firstLine="1"/>
              <w:rPr>
                <w:color w:val="auto"/>
              </w:rPr>
            </w:pPr>
            <w:r>
              <w:rPr>
                <w:color w:val="auto"/>
              </w:rPr>
              <w:t>Reģistrācijas vieta: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577" w:type="dxa"/>
            <w:vAlign w:val="top"/>
          </w:tcPr>
          <w:p>
            <w:pPr>
              <w:rPr>
                <w:color w:val="auto"/>
              </w:rPr>
            </w:pPr>
            <w:r>
              <w:rPr>
                <w:color w:val="auto"/>
              </w:rPr>
              <w:t>5.</w:t>
            </w:r>
          </w:p>
        </w:tc>
        <w:tc>
          <w:tcPr>
            <w:tcW w:w="8918" w:type="dxa"/>
            <w:gridSpan w:val="3"/>
            <w:vAlign w:val="top"/>
          </w:tcPr>
          <w:p>
            <w:pPr>
              <w:ind w:firstLine="1"/>
              <w:rPr>
                <w:color w:val="auto"/>
              </w:rPr>
            </w:pPr>
            <w:r>
              <w:rPr>
                <w:color w:val="auto"/>
              </w:rPr>
              <w:t>Reģistrācijas gads: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577" w:type="dxa"/>
            <w:vAlign w:val="top"/>
          </w:tcPr>
          <w:p>
            <w:pPr>
              <w:rPr>
                <w:color w:val="auto"/>
              </w:rPr>
            </w:pPr>
            <w:r>
              <w:rPr>
                <w:color w:val="auto"/>
              </w:rPr>
              <w:t>6.</w:t>
            </w:r>
          </w:p>
        </w:tc>
        <w:tc>
          <w:tcPr>
            <w:tcW w:w="8918" w:type="dxa"/>
            <w:gridSpan w:val="3"/>
            <w:vAlign w:val="top"/>
          </w:tcPr>
          <w:p>
            <w:pPr>
              <w:ind w:firstLine="1"/>
              <w:rPr>
                <w:color w:val="auto"/>
              </w:rPr>
            </w:pPr>
            <w:r>
              <w:rPr>
                <w:color w:val="auto"/>
              </w:rPr>
              <w:t>Reģistrēts Latvijas Republikas Elektroenerģijas tirdzniecības Sabiedrisko pakalpojumu regulēšanas komisijas Elektroenerģijas tirgotāju reģistrā ar reģistrācijas numuru: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577" w:type="dxa"/>
            <w:vAlign w:val="top"/>
          </w:tcPr>
          <w:p>
            <w:pPr>
              <w:rPr>
                <w:color w:val="auto"/>
              </w:rPr>
            </w:pPr>
            <w:r>
              <w:rPr>
                <w:color w:val="auto"/>
              </w:rPr>
              <w:t>7.</w:t>
            </w:r>
          </w:p>
        </w:tc>
        <w:tc>
          <w:tcPr>
            <w:tcW w:w="8918" w:type="dxa"/>
            <w:gridSpan w:val="3"/>
            <w:vAlign w:val="top"/>
          </w:tcPr>
          <w:p>
            <w:pPr>
              <w:ind w:firstLine="1"/>
              <w:rPr>
                <w:color w:val="auto"/>
              </w:rPr>
            </w:pPr>
            <w:r>
              <w:rPr>
                <w:color w:val="auto"/>
              </w:rPr>
              <w:t>Darbības sfēra (īss apraksts):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577" w:type="dxa"/>
            <w:vAlign w:val="top"/>
          </w:tcPr>
          <w:p>
            <w:pPr>
              <w:rPr>
                <w:color w:val="auto"/>
              </w:rPr>
            </w:pPr>
            <w:r>
              <w:rPr>
                <w:color w:val="auto"/>
              </w:rPr>
              <w:t>8.</w:t>
            </w:r>
          </w:p>
        </w:tc>
        <w:tc>
          <w:tcPr>
            <w:tcW w:w="8918" w:type="dxa"/>
            <w:gridSpan w:val="3"/>
            <w:vAlign w:val="top"/>
          </w:tcPr>
          <w:p>
            <w:pPr>
              <w:ind w:firstLine="1"/>
              <w:rPr>
                <w:color w:val="auto"/>
              </w:rPr>
            </w:pPr>
            <w:r>
              <w:rPr>
                <w:color w:val="auto"/>
              </w:rPr>
              <w:t>Finanšu rekvizīti: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Height w:val="254" w:hRule="atLeast"/>
        </w:trPr>
        <w:tc>
          <w:tcPr>
            <w:tcW w:w="6777" w:type="dxa"/>
            <w:gridSpan w:val="3"/>
            <w:vAlign w:val="top"/>
          </w:tcPr>
          <w:p>
            <w:pPr>
              <w:rPr>
                <w:color w:val="auto"/>
              </w:rPr>
            </w:pPr>
            <w:r>
              <w:rPr>
                <w:color w:val="auto"/>
              </w:rPr>
              <w:t>8.1. Kredītiestādes nosaukums:</w:t>
            </w:r>
          </w:p>
        </w:tc>
        <w:tc>
          <w:tcPr>
            <w:tcW w:w="2718" w:type="dxa"/>
            <w:vAlign w:val="top"/>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6777" w:type="dxa"/>
            <w:gridSpan w:val="3"/>
            <w:vAlign w:val="top"/>
          </w:tcPr>
          <w:p>
            <w:pPr>
              <w:ind w:left="426" w:hanging="426"/>
              <w:rPr>
                <w:color w:val="auto"/>
              </w:rPr>
            </w:pPr>
            <w:r>
              <w:rPr>
                <w:color w:val="auto"/>
              </w:rPr>
              <w:t>8.2. Kredītiestādes adrese (tai skaitā pilsēta, valsts, pasta indekss):</w:t>
            </w:r>
          </w:p>
        </w:tc>
        <w:tc>
          <w:tcPr>
            <w:tcW w:w="2718" w:type="dxa"/>
            <w:vAlign w:val="top"/>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6777" w:type="dxa"/>
            <w:gridSpan w:val="3"/>
            <w:vAlign w:val="top"/>
          </w:tcPr>
          <w:p>
            <w:pPr>
              <w:rPr>
                <w:color w:val="auto"/>
              </w:rPr>
            </w:pPr>
            <w:r>
              <w:rPr>
                <w:color w:val="auto"/>
              </w:rPr>
              <w:t>8.3. Kredītiestādes kods:</w:t>
            </w:r>
          </w:p>
        </w:tc>
        <w:tc>
          <w:tcPr>
            <w:tcW w:w="2718" w:type="dxa"/>
            <w:vAlign w:val="top"/>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6777" w:type="dxa"/>
            <w:gridSpan w:val="3"/>
            <w:vAlign w:val="top"/>
          </w:tcPr>
          <w:p>
            <w:pPr>
              <w:rPr>
                <w:color w:val="auto"/>
              </w:rPr>
            </w:pPr>
            <w:r>
              <w:rPr>
                <w:color w:val="auto"/>
              </w:rPr>
              <w:t>8.4. Konta numurs:</w:t>
            </w:r>
          </w:p>
        </w:tc>
        <w:tc>
          <w:tcPr>
            <w:tcW w:w="2718" w:type="dxa"/>
            <w:vAlign w:val="top"/>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577" w:type="dxa"/>
            <w:vAlign w:val="top"/>
          </w:tcPr>
          <w:p>
            <w:pPr>
              <w:rPr>
                <w:color w:val="auto"/>
              </w:rPr>
            </w:pPr>
            <w:r>
              <w:rPr>
                <w:color w:val="auto"/>
              </w:rPr>
              <w:t>9.</w:t>
            </w:r>
          </w:p>
        </w:tc>
        <w:tc>
          <w:tcPr>
            <w:tcW w:w="8918" w:type="dxa"/>
            <w:gridSpan w:val="3"/>
            <w:vAlign w:val="top"/>
          </w:tcPr>
          <w:p>
            <w:pPr>
              <w:ind w:firstLine="1"/>
              <w:rPr>
                <w:color w:val="auto"/>
              </w:rPr>
            </w:pPr>
            <w:r>
              <w:rPr>
                <w:color w:val="auto"/>
              </w:rPr>
              <w:t>Kontaktpersona: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577" w:type="dxa"/>
            <w:vAlign w:val="top"/>
          </w:tcPr>
          <w:p>
            <w:pPr>
              <w:rPr>
                <w:color w:val="auto"/>
              </w:rPr>
            </w:pPr>
            <w:r>
              <w:rPr>
                <w:color w:val="auto"/>
              </w:rPr>
              <w:t>10.</w:t>
            </w:r>
          </w:p>
        </w:tc>
        <w:tc>
          <w:tcPr>
            <w:tcW w:w="8918" w:type="dxa"/>
            <w:gridSpan w:val="3"/>
            <w:vAlign w:val="top"/>
          </w:tcPr>
          <w:p>
            <w:pPr>
              <w:ind w:firstLine="1"/>
              <w:rPr>
                <w:color w:val="auto"/>
              </w:rPr>
            </w:pPr>
            <w:r>
              <w:rPr>
                <w:color w:val="auto"/>
              </w:rPr>
              <w:t>Telefons: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577" w:type="dxa"/>
            <w:vAlign w:val="top"/>
          </w:tcPr>
          <w:p>
            <w:pPr>
              <w:rPr>
                <w:color w:val="auto"/>
              </w:rPr>
            </w:pPr>
            <w:r>
              <w:rPr>
                <w:color w:val="auto"/>
              </w:rPr>
              <w:t>11.</w:t>
            </w:r>
          </w:p>
        </w:tc>
        <w:tc>
          <w:tcPr>
            <w:tcW w:w="8918" w:type="dxa"/>
            <w:gridSpan w:val="3"/>
            <w:vAlign w:val="top"/>
          </w:tcPr>
          <w:p>
            <w:pPr>
              <w:ind w:firstLine="1"/>
              <w:rPr>
                <w:color w:val="auto"/>
              </w:rPr>
            </w:pPr>
            <w:r>
              <w:rPr>
                <w:color w:val="auto"/>
              </w:rPr>
              <w:t>Fax: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577" w:type="dxa"/>
            <w:vAlign w:val="top"/>
          </w:tcPr>
          <w:p>
            <w:pPr>
              <w:rPr>
                <w:color w:val="auto"/>
              </w:rPr>
            </w:pPr>
            <w:r>
              <w:rPr>
                <w:color w:val="auto"/>
              </w:rPr>
              <w:t>12.</w:t>
            </w:r>
          </w:p>
        </w:tc>
        <w:tc>
          <w:tcPr>
            <w:tcW w:w="8918" w:type="dxa"/>
            <w:gridSpan w:val="3"/>
            <w:vAlign w:val="top"/>
          </w:tcPr>
          <w:p>
            <w:pPr>
              <w:ind w:firstLine="1"/>
              <w:rPr>
                <w:color w:val="auto"/>
              </w:rPr>
            </w:pPr>
            <w:r>
              <w:rPr>
                <w:color w:val="auto"/>
              </w:rPr>
              <w:t>E – pasta adrese: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c>
          <w:tcPr>
            <w:tcW w:w="3121" w:type="dxa"/>
            <w:gridSpan w:val="2"/>
            <w:vAlign w:val="top"/>
          </w:tcPr>
          <w:p>
            <w:pPr>
              <w:rPr>
                <w:color w:val="auto"/>
              </w:rPr>
            </w:pPr>
            <w:r>
              <w:rPr>
                <w:color w:val="auto"/>
              </w:rPr>
              <w:t xml:space="preserve">Pilnvarotās personas vārds, </w:t>
            </w:r>
          </w:p>
          <w:p>
            <w:pPr>
              <w:rPr>
                <w:color w:val="auto"/>
              </w:rPr>
            </w:pPr>
            <w:r>
              <w:rPr>
                <w:color w:val="auto"/>
              </w:rPr>
              <w:t>uzvārds, amats:</w:t>
            </w:r>
          </w:p>
        </w:tc>
        <w:tc>
          <w:tcPr>
            <w:tcW w:w="6527" w:type="dxa"/>
            <w:gridSpan w:val="3"/>
            <w:tcBorders>
              <w:top w:val="nil"/>
              <w:left w:val="nil"/>
              <w:bottom w:val="dotted" w:color="auto" w:sz="4" w:space="0"/>
              <w:right w:val="nil"/>
            </w:tcBorders>
            <w:vAlign w:val="top"/>
          </w:tcPr>
          <w:p>
            <w:pPr>
              <w:rPr>
                <w:color w:val="auto"/>
              </w:rPr>
            </w:pPr>
          </w:p>
        </w:tc>
      </w:tr>
    </w:tbl>
    <w:p>
      <w:pPr>
        <w:spacing w:before="120" w:after="120"/>
        <w:jc w:val="both"/>
        <w:rPr>
          <w:color w:val="auto"/>
        </w:rPr>
      </w:pPr>
      <w:r>
        <w:rPr>
          <w:b/>
          <w:color w:val="auto"/>
        </w:rPr>
        <w:t>Informāciju</w:t>
      </w:r>
      <w:r>
        <w:rPr>
          <w:color w:val="auto"/>
        </w:rPr>
        <w:t xml:space="preserve"> par pretendenta uzņēmuma atbilstību maza* vai vidēja** uzņēmuma statusam.</w:t>
      </w:r>
    </w:p>
    <w:p>
      <w:pPr>
        <w:spacing w:before="120" w:after="120"/>
        <w:ind w:left="567"/>
        <w:jc w:val="both"/>
        <w:rPr>
          <w:color w:val="auto"/>
        </w:rPr>
      </w:pPr>
      <w:r>
        <w:rPr>
          <w:color w:val="auto"/>
        </w:rPr>
        <w:t xml:space="preserve">Pretendents </w:t>
      </w:r>
      <w:r>
        <w:rPr>
          <w:i/>
          <w:color w:val="auto"/>
        </w:rPr>
        <w:t>/nosaukums/</w:t>
      </w:r>
      <w:r>
        <w:rPr>
          <w:color w:val="auto"/>
        </w:rPr>
        <w:t xml:space="preserve"> ir ___________________ </w:t>
      </w:r>
      <w:r>
        <w:rPr>
          <w:i/>
          <w:color w:val="auto"/>
        </w:rPr>
        <w:t>/jānorāda mazais* vai vidējais**/</w:t>
      </w:r>
      <w:r>
        <w:rPr>
          <w:color w:val="auto"/>
        </w:rPr>
        <w:t xml:space="preserve"> uzņēmums.</w:t>
      </w:r>
    </w:p>
    <w:p>
      <w:pPr>
        <w:spacing w:before="120" w:after="120"/>
        <w:ind w:left="567"/>
        <w:jc w:val="both"/>
        <w:rPr>
          <w:color w:val="auto"/>
        </w:rPr>
      </w:pPr>
      <w:r>
        <w:rPr>
          <w:color w:val="auto"/>
        </w:rPr>
        <w:t xml:space="preserve">Pretendenta piesaistītais apakšuzņēmējs </w:t>
      </w:r>
      <w:r>
        <w:rPr>
          <w:i/>
          <w:color w:val="auto"/>
        </w:rPr>
        <w:t xml:space="preserve">/nosaukums/ </w:t>
      </w:r>
      <w:r>
        <w:rPr>
          <w:color w:val="auto"/>
        </w:rPr>
        <w:t xml:space="preserve">ir _________________ </w:t>
      </w:r>
      <w:r>
        <w:rPr>
          <w:i/>
          <w:color w:val="auto"/>
        </w:rPr>
        <w:t xml:space="preserve">/jānorāda mazais vai vidējais/ </w:t>
      </w:r>
      <w:r>
        <w:rPr>
          <w:color w:val="auto"/>
        </w:rPr>
        <w:t>uzņēmums.</w:t>
      </w:r>
    </w:p>
    <w:p>
      <w:pPr>
        <w:spacing w:before="120" w:after="120"/>
        <w:jc w:val="both"/>
        <w:rPr>
          <w:color w:val="auto"/>
        </w:rPr>
      </w:pPr>
      <w:r>
        <w:rPr>
          <w:b/>
          <w:color w:val="auto"/>
        </w:rPr>
        <w:t>*Mazais uzņēmums</w:t>
      </w:r>
      <w:r>
        <w:rPr>
          <w:color w:val="auto"/>
        </w:rPr>
        <w:t>, kurā nodarbinātas mazāk nekā 50 personas un kura gada apgrozījums un/vai gada bilance kopā nepārsniedz 10 miljonus EUR.</w:t>
      </w:r>
    </w:p>
    <w:p>
      <w:pPr>
        <w:spacing w:before="120" w:after="120"/>
        <w:jc w:val="both"/>
        <w:rPr>
          <w:color w:val="auto"/>
        </w:rPr>
      </w:pPr>
      <w:r>
        <w:rPr>
          <w:b/>
          <w:color w:val="auto"/>
        </w:rPr>
        <w:t>**Vidējais uzņēmums</w:t>
      </w:r>
      <w:r>
        <w:rPr>
          <w:color w:val="auto"/>
        </w:rPr>
        <w:t>, kas nav mazais uzņēmums, un kurā nodarbinātas mazāk nekā 250 personas un kura gada apgrozījums nepārsniedz 50 miljonus EUR un/vai, kura gada bilance kopā nepārsniedz 43 miljonus EUR.</w:t>
      </w:r>
    </w:p>
    <w:p>
      <w:pPr>
        <w:jc w:val="both"/>
        <w:rPr>
          <w:color w:val="auto"/>
        </w:rPr>
      </w:pPr>
    </w:p>
    <w:tbl>
      <w:tblPr>
        <w:tblW w:w="1003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
      <w:tblGrid>
        <w:gridCol w:w="6345"/>
        <w:gridCol w:w="36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c>
          <w:tcPr>
            <w:tcW w:w="6345" w:type="dxa"/>
            <w:vAlign w:val="top"/>
          </w:tcPr>
          <w:p>
            <w:pPr>
              <w:rPr>
                <w:color w:val="auto"/>
              </w:rPr>
            </w:pPr>
            <w:r>
              <w:rPr>
                <w:color w:val="auto"/>
              </w:rPr>
              <w:t xml:space="preserve">Pretendenta vai tā pilnvarotās personas                      </w:t>
            </w:r>
          </w:p>
          <w:p>
            <w:pPr>
              <w:rPr>
                <w:color w:val="auto"/>
              </w:rPr>
            </w:pPr>
            <w:r>
              <w:rPr>
                <w:color w:val="auto"/>
              </w:rPr>
              <w:t>vārds, uzvārds, amats:</w:t>
            </w:r>
          </w:p>
        </w:tc>
        <w:tc>
          <w:tcPr>
            <w:tcW w:w="3686" w:type="dxa"/>
            <w:tcBorders>
              <w:top w:val="nil"/>
              <w:left w:val="nil"/>
              <w:bottom w:val="dotted" w:color="auto" w:sz="4" w:space="0"/>
              <w:right w:val="nil"/>
            </w:tcBorders>
            <w:vAlign w:val="top"/>
          </w:tcPr>
          <w:p>
            <w:pPr>
              <w:rPr>
                <w:color w:val="auto"/>
              </w:rPr>
            </w:pPr>
          </w:p>
        </w:tc>
      </w:tr>
    </w:tbl>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auto"/>
          <w:sz w:val="22"/>
          <w:lang w:eastAsia="ar-SA"/>
        </w:rPr>
      </w:pPr>
      <w:r>
        <w:rPr>
          <w:rFonts w:eastAsia="Times New Roman" w:cs="Times New Roman"/>
          <w:bCs/>
          <w:iCs/>
          <w:color w:val="auto"/>
          <w:sz w:val="22"/>
          <w:lang w:eastAsia="ar-SA"/>
        </w:rPr>
        <w:t xml:space="preserve">Nolikuma pielikums Nr.2 </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 xml:space="preserve">SIA “DOBELES NAMSAIMNIEKS” izsludinātajā iepirkumā </w:t>
      </w:r>
    </w:p>
    <w:p>
      <w:pPr>
        <w:suppressAutoHyphens/>
        <w:spacing w:after="0" w:line="240" w:lineRule="auto"/>
        <w:jc w:val="right"/>
        <w:rPr>
          <w:rFonts w:eastAsia="Times New Roman" w:cs="Times New Roman"/>
          <w:bCs/>
          <w:iCs/>
          <w:color w:val="auto"/>
          <w:sz w:val="22"/>
          <w:lang w:eastAsia="ar-SA"/>
        </w:rPr>
      </w:pPr>
      <w:r>
        <w:rPr>
          <w:rFonts w:eastAsia="Times New Roman" w:cs="Times New Roman"/>
          <w:iCs/>
          <w:color w:val="auto"/>
          <w:sz w:val="22"/>
          <w:lang w:eastAsia="ar-SA"/>
        </w:rPr>
        <w:t>ID Nr. SIA DN 20</w:t>
      </w:r>
      <w:r>
        <w:rPr>
          <w:rFonts w:hint="default" w:eastAsia="Times New Roman" w:cs="Times New Roman"/>
          <w:iCs/>
          <w:color w:val="auto"/>
          <w:sz w:val="22"/>
          <w:lang w:eastAsia="ar-SA"/>
        </w:rPr>
        <w:t>20/12</w:t>
      </w:r>
    </w:p>
    <w:p>
      <w:pPr>
        <w:suppressAutoHyphens/>
        <w:spacing w:after="0" w:line="240" w:lineRule="auto"/>
        <w:ind w:right="-49"/>
        <w:jc w:val="both"/>
        <w:rPr>
          <w:rFonts w:eastAsia="Times New Roman" w:cs="Times New Roman"/>
          <w:color w:val="auto"/>
          <w:sz w:val="20"/>
          <w:szCs w:val="20"/>
          <w:highlight w:val="yellow"/>
          <w:lang w:eastAsia="ar-SA"/>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jc w:val="center"/>
        <w:rPr>
          <w:b/>
          <w:color w:val="auto"/>
        </w:rPr>
      </w:pPr>
      <w:r>
        <w:rPr>
          <w:b/>
          <w:color w:val="auto"/>
        </w:rPr>
        <w:t>FINANŠU PIEDĀVĀJUMS</w:t>
      </w:r>
    </w:p>
    <w:p>
      <w:pPr>
        <w:spacing w:after="0" w:line="240" w:lineRule="auto"/>
        <w:jc w:val="center"/>
        <w:rPr>
          <w:rFonts w:eastAsia="Times New Roman" w:cs="Times New Roman"/>
          <w:color w:val="auto"/>
          <w:szCs w:val="24"/>
        </w:rPr>
      </w:pPr>
      <w:r>
        <w:rPr>
          <w:rFonts w:eastAsia="Times New Roman" w:cs="Times New Roman"/>
          <w:color w:val="auto"/>
          <w:szCs w:val="24"/>
        </w:rPr>
        <w:t>SIA “DOBELES NAMSAIMNIEKS” izsludinātajā iepirkumā</w:t>
      </w:r>
    </w:p>
    <w:p>
      <w:pPr>
        <w:jc w:val="center"/>
        <w:rPr>
          <w:rFonts w:eastAsia="Calibri" w:cs="Calibri"/>
          <w:b/>
          <w:color w:val="auto"/>
        </w:rPr>
      </w:pPr>
      <w:r>
        <w:rPr>
          <w:rFonts w:eastAsia="Calibri" w:cs="Calibri"/>
          <w:b/>
          <w:color w:val="auto"/>
        </w:rPr>
        <w:t>“</w:t>
      </w:r>
      <w:r>
        <w:rPr>
          <w:b/>
          <w:bCs/>
          <w:color w:val="auto"/>
        </w:rPr>
        <w:t>Elektroapgādes sistēmu mērījumi SIA “DOBELES NAMSAIMNIEKS” apsaimniekojamos objektos</w:t>
      </w:r>
      <w:r>
        <w:rPr>
          <w:rFonts w:eastAsia="Calibri" w:cs="Calibri"/>
          <w:b/>
          <w:color w:val="auto"/>
        </w:rPr>
        <w:t>”</w:t>
      </w:r>
    </w:p>
    <w:p>
      <w:pPr>
        <w:spacing w:after="0" w:line="240" w:lineRule="auto"/>
        <w:jc w:val="center"/>
        <w:rPr>
          <w:rFonts w:eastAsia="Times New Roman" w:cs="Times New Roman"/>
          <w:color w:val="auto"/>
          <w:szCs w:val="24"/>
        </w:rPr>
      </w:pPr>
      <w:r>
        <w:rPr>
          <w:rFonts w:eastAsia="Times New Roman" w:cs="Times New Roman"/>
          <w:color w:val="auto"/>
          <w:szCs w:val="24"/>
        </w:rPr>
        <w:t>identifikācijas numurs</w:t>
      </w:r>
      <w:r>
        <w:rPr>
          <w:rFonts w:hint="default" w:eastAsia="Times New Roman" w:cs="Times New Roman"/>
          <w:color w:val="auto"/>
          <w:szCs w:val="24"/>
        </w:rPr>
        <w:t>:</w:t>
      </w:r>
      <w:r>
        <w:rPr>
          <w:rFonts w:eastAsia="Times New Roman" w:cs="Times New Roman"/>
          <w:color w:val="auto"/>
          <w:szCs w:val="24"/>
        </w:rPr>
        <w:t xml:space="preserve"> SIA DN 20</w:t>
      </w:r>
      <w:r>
        <w:rPr>
          <w:rFonts w:hint="default" w:eastAsia="Times New Roman" w:cs="Times New Roman"/>
          <w:color w:val="auto"/>
          <w:szCs w:val="24"/>
        </w:rPr>
        <w:t>20</w:t>
      </w:r>
      <w:r>
        <w:rPr>
          <w:rFonts w:eastAsia="Times New Roman" w:cs="Times New Roman"/>
          <w:color w:val="auto"/>
          <w:szCs w:val="24"/>
        </w:rPr>
        <w:t>/</w:t>
      </w:r>
      <w:r>
        <w:rPr>
          <w:rFonts w:hint="default" w:eastAsia="Times New Roman" w:cs="Times New Roman"/>
          <w:color w:val="auto"/>
          <w:szCs w:val="24"/>
        </w:rPr>
        <w:t>12</w:t>
      </w:r>
    </w:p>
    <w:p>
      <w:pPr>
        <w:ind w:left="360"/>
        <w:jc w:val="center"/>
        <w:rPr>
          <w:color w:val="auto"/>
        </w:rPr>
      </w:pPr>
    </w:p>
    <w:tbl>
      <w:tblPr>
        <w:tblW w:w="9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3828"/>
        <w:gridCol w:w="5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3828" w:type="dxa"/>
            <w:tcBorders>
              <w:top w:val="single" w:color="auto" w:sz="4" w:space="0"/>
              <w:left w:val="single" w:color="auto" w:sz="4" w:space="0"/>
              <w:bottom w:val="single" w:color="auto" w:sz="4" w:space="0"/>
              <w:right w:val="single" w:color="auto" w:sz="4" w:space="0"/>
            </w:tcBorders>
            <w:vAlign w:val="top"/>
          </w:tcPr>
          <w:p>
            <w:pPr>
              <w:pStyle w:val="10"/>
              <w:ind w:left="0"/>
              <w:rPr>
                <w:rFonts w:ascii="Times New Roman" w:hAnsi="Times New Roman" w:cs="Times New Roman"/>
                <w:color w:val="auto"/>
                <w:sz w:val="22"/>
                <w:szCs w:val="22"/>
              </w:rPr>
            </w:pPr>
            <w:r>
              <w:rPr>
                <w:rFonts w:ascii="Times New Roman" w:hAnsi="Times New Roman" w:cs="Times New Roman"/>
                <w:color w:val="auto"/>
                <w:sz w:val="22"/>
                <w:szCs w:val="22"/>
              </w:rPr>
              <w:t>Pretendents</w:t>
            </w:r>
          </w:p>
        </w:tc>
        <w:tc>
          <w:tcPr>
            <w:tcW w:w="5520" w:type="dxa"/>
            <w:tcBorders>
              <w:top w:val="single" w:color="auto" w:sz="4" w:space="0"/>
              <w:left w:val="single" w:color="auto" w:sz="4" w:space="0"/>
              <w:bottom w:val="single" w:color="auto" w:sz="4" w:space="0"/>
              <w:right w:val="single" w:color="auto" w:sz="4" w:space="0"/>
            </w:tcBorders>
            <w:vAlign w:val="top"/>
          </w:tcPr>
          <w:p>
            <w:pPr>
              <w:pStyle w:val="10"/>
              <w:ind w:left="0"/>
              <w:rPr>
                <w:rFonts w:ascii="Times New Roman" w:hAnsi="Times New Roman" w:cs="Times New Roman"/>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3828" w:type="dxa"/>
            <w:tcBorders>
              <w:top w:val="single" w:color="auto" w:sz="4" w:space="0"/>
              <w:left w:val="single" w:color="auto" w:sz="4" w:space="0"/>
              <w:bottom w:val="single" w:color="auto" w:sz="4" w:space="0"/>
              <w:right w:val="single" w:color="auto" w:sz="4" w:space="0"/>
            </w:tcBorders>
            <w:vAlign w:val="top"/>
          </w:tcPr>
          <w:p>
            <w:pPr>
              <w:pStyle w:val="10"/>
              <w:ind w:left="0"/>
              <w:rPr>
                <w:rFonts w:ascii="Times New Roman" w:hAnsi="Times New Roman" w:cs="Times New Roman"/>
                <w:color w:val="auto"/>
                <w:sz w:val="22"/>
                <w:szCs w:val="22"/>
              </w:rPr>
            </w:pPr>
            <w:r>
              <w:rPr>
                <w:rFonts w:ascii="Times New Roman" w:hAnsi="Times New Roman" w:cs="Times New Roman"/>
                <w:color w:val="auto"/>
                <w:sz w:val="22"/>
                <w:szCs w:val="22"/>
              </w:rPr>
              <w:t>Adrese</w:t>
            </w:r>
          </w:p>
        </w:tc>
        <w:tc>
          <w:tcPr>
            <w:tcW w:w="5520" w:type="dxa"/>
            <w:tcBorders>
              <w:top w:val="single" w:color="auto" w:sz="4" w:space="0"/>
              <w:left w:val="single" w:color="auto" w:sz="4" w:space="0"/>
              <w:bottom w:val="single" w:color="auto" w:sz="4" w:space="0"/>
              <w:right w:val="single" w:color="auto" w:sz="4" w:space="0"/>
            </w:tcBorders>
            <w:vAlign w:val="top"/>
          </w:tcPr>
          <w:p>
            <w:pPr>
              <w:pStyle w:val="10"/>
              <w:ind w:left="0"/>
              <w:rPr>
                <w:rFonts w:ascii="Times New Roman" w:hAnsi="Times New Roman" w:cs="Times New Roman"/>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3828" w:type="dxa"/>
            <w:tcBorders>
              <w:top w:val="single" w:color="auto" w:sz="4" w:space="0"/>
              <w:left w:val="single" w:color="auto" w:sz="4" w:space="0"/>
              <w:bottom w:val="single" w:color="auto" w:sz="4" w:space="0"/>
              <w:right w:val="single" w:color="auto" w:sz="4" w:space="0"/>
            </w:tcBorders>
            <w:vAlign w:val="top"/>
          </w:tcPr>
          <w:p>
            <w:pPr>
              <w:pStyle w:val="10"/>
              <w:ind w:left="0"/>
              <w:rPr>
                <w:rFonts w:ascii="Times New Roman" w:hAnsi="Times New Roman" w:cs="Times New Roman"/>
                <w:color w:val="auto"/>
                <w:sz w:val="22"/>
                <w:szCs w:val="22"/>
              </w:rPr>
            </w:pPr>
            <w:r>
              <w:rPr>
                <w:rFonts w:ascii="Times New Roman" w:hAnsi="Times New Roman" w:cs="Times New Roman"/>
                <w:color w:val="auto"/>
                <w:sz w:val="22"/>
                <w:szCs w:val="22"/>
              </w:rPr>
              <w:t>Komersanta reģistrācijas Nr.</w:t>
            </w:r>
          </w:p>
        </w:tc>
        <w:tc>
          <w:tcPr>
            <w:tcW w:w="5520" w:type="dxa"/>
            <w:tcBorders>
              <w:top w:val="single" w:color="auto" w:sz="4" w:space="0"/>
              <w:left w:val="single" w:color="auto" w:sz="4" w:space="0"/>
              <w:bottom w:val="single" w:color="auto" w:sz="4" w:space="0"/>
              <w:right w:val="single" w:color="auto" w:sz="4" w:space="0"/>
            </w:tcBorders>
            <w:vAlign w:val="top"/>
          </w:tcPr>
          <w:p>
            <w:pPr>
              <w:pStyle w:val="10"/>
              <w:ind w:left="0"/>
              <w:rPr>
                <w:rFonts w:ascii="Times New Roman" w:hAnsi="Times New Roman" w:cs="Times New Roman"/>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3828" w:type="dxa"/>
            <w:tcBorders>
              <w:top w:val="single" w:color="auto" w:sz="4" w:space="0"/>
              <w:left w:val="single" w:color="auto" w:sz="4" w:space="0"/>
              <w:bottom w:val="single" w:color="auto" w:sz="4" w:space="0"/>
              <w:right w:val="single" w:color="auto" w:sz="4" w:space="0"/>
            </w:tcBorders>
            <w:vAlign w:val="top"/>
          </w:tcPr>
          <w:p>
            <w:pPr>
              <w:pStyle w:val="10"/>
              <w:ind w:left="0"/>
              <w:rPr>
                <w:rFonts w:ascii="Times New Roman" w:hAnsi="Times New Roman" w:cs="Times New Roman"/>
                <w:color w:val="auto"/>
                <w:sz w:val="22"/>
                <w:szCs w:val="22"/>
              </w:rPr>
            </w:pPr>
            <w:r>
              <w:rPr>
                <w:rFonts w:ascii="Times New Roman" w:hAnsi="Times New Roman" w:cs="Times New Roman"/>
                <w:color w:val="auto"/>
                <w:sz w:val="22"/>
                <w:szCs w:val="22"/>
              </w:rPr>
              <w:t xml:space="preserve">Fakss vai E-pasts </w:t>
            </w:r>
            <w:r>
              <w:rPr>
                <w:rFonts w:ascii="Times New Roman" w:hAnsi="Times New Roman" w:cs="Times New Roman"/>
                <w:i/>
                <w:color w:val="auto"/>
                <w:sz w:val="22"/>
                <w:szCs w:val="22"/>
                <w:u w:val="single"/>
              </w:rPr>
              <w:t xml:space="preserve">(jānorāda precīzs un pareizs, uz kuru iespējams nosūtīt informāciju un paziņojumu par iepirkuma procedūras rezultātiem) </w:t>
            </w:r>
          </w:p>
        </w:tc>
        <w:tc>
          <w:tcPr>
            <w:tcW w:w="5520" w:type="dxa"/>
            <w:tcBorders>
              <w:top w:val="single" w:color="auto" w:sz="4" w:space="0"/>
              <w:left w:val="single" w:color="auto" w:sz="4" w:space="0"/>
              <w:bottom w:val="single" w:color="auto" w:sz="4" w:space="0"/>
              <w:right w:val="single" w:color="auto" w:sz="4" w:space="0"/>
            </w:tcBorders>
            <w:vAlign w:val="top"/>
          </w:tcPr>
          <w:p>
            <w:pPr>
              <w:pStyle w:val="10"/>
              <w:ind w:left="0"/>
              <w:rPr>
                <w:rFonts w:ascii="Times New Roman" w:hAnsi="Times New Roman" w:cs="Times New Roman"/>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3828" w:type="dxa"/>
            <w:tcBorders>
              <w:top w:val="single" w:color="auto" w:sz="4" w:space="0"/>
              <w:left w:val="single" w:color="auto" w:sz="4" w:space="0"/>
              <w:bottom w:val="single" w:color="auto" w:sz="4" w:space="0"/>
              <w:right w:val="single" w:color="auto" w:sz="4" w:space="0"/>
            </w:tcBorders>
            <w:vAlign w:val="top"/>
          </w:tcPr>
          <w:p>
            <w:pPr>
              <w:snapToGrid w:val="0"/>
              <w:rPr>
                <w:color w:val="auto"/>
                <w:sz w:val="22"/>
                <w:szCs w:val="22"/>
              </w:rPr>
            </w:pPr>
            <w:r>
              <w:rPr>
                <w:color w:val="auto"/>
                <w:sz w:val="22"/>
                <w:szCs w:val="22"/>
              </w:rPr>
              <w:t>Pretendenta kontaktpersona</w:t>
            </w:r>
          </w:p>
          <w:p>
            <w:pPr>
              <w:pStyle w:val="10"/>
              <w:ind w:left="0"/>
              <w:rPr>
                <w:rFonts w:ascii="Times New Roman" w:hAnsi="Times New Roman" w:cs="Times New Roman"/>
                <w:color w:val="auto"/>
                <w:sz w:val="22"/>
                <w:szCs w:val="22"/>
              </w:rPr>
            </w:pPr>
            <w:r>
              <w:rPr>
                <w:rFonts w:ascii="Times New Roman" w:hAnsi="Times New Roman" w:cs="Times New Roman"/>
                <w:color w:val="auto"/>
                <w:sz w:val="22"/>
                <w:szCs w:val="22"/>
              </w:rPr>
              <w:t>(vārds, uzvārds, amats, telefons)</w:t>
            </w:r>
          </w:p>
        </w:tc>
        <w:tc>
          <w:tcPr>
            <w:tcW w:w="5520" w:type="dxa"/>
            <w:tcBorders>
              <w:top w:val="single" w:color="auto" w:sz="4" w:space="0"/>
              <w:left w:val="single" w:color="auto" w:sz="4" w:space="0"/>
              <w:bottom w:val="single" w:color="auto" w:sz="4" w:space="0"/>
              <w:right w:val="single" w:color="auto" w:sz="4" w:space="0"/>
            </w:tcBorders>
            <w:vAlign w:val="top"/>
          </w:tcPr>
          <w:p>
            <w:pPr>
              <w:pStyle w:val="10"/>
              <w:ind w:left="0"/>
              <w:rPr>
                <w:rFonts w:ascii="Times New Roman" w:hAnsi="Times New Roman" w:cs="Times New Roman"/>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3828" w:type="dxa"/>
            <w:tcBorders>
              <w:top w:val="single" w:color="auto" w:sz="4" w:space="0"/>
              <w:left w:val="single" w:color="auto" w:sz="4" w:space="0"/>
              <w:bottom w:val="single" w:color="auto" w:sz="4" w:space="0"/>
              <w:right w:val="single" w:color="auto" w:sz="4" w:space="0"/>
            </w:tcBorders>
            <w:vAlign w:val="top"/>
          </w:tcPr>
          <w:p>
            <w:pPr>
              <w:pStyle w:val="10"/>
              <w:ind w:left="0"/>
              <w:rPr>
                <w:rFonts w:ascii="Times New Roman" w:hAnsi="Times New Roman" w:cs="Times New Roman"/>
                <w:color w:val="auto"/>
                <w:sz w:val="22"/>
                <w:szCs w:val="22"/>
              </w:rPr>
            </w:pPr>
            <w:r>
              <w:rPr>
                <w:rFonts w:ascii="Times New Roman" w:hAnsi="Times New Roman" w:cs="Times New Roman"/>
                <w:color w:val="auto"/>
                <w:sz w:val="22"/>
                <w:szCs w:val="22"/>
              </w:rPr>
              <w:t>Citi uzņēmēji</w:t>
            </w:r>
          </w:p>
          <w:p>
            <w:pPr>
              <w:pStyle w:val="10"/>
              <w:ind w:left="0"/>
              <w:rPr>
                <w:rFonts w:ascii="Times New Roman" w:hAnsi="Times New Roman" w:cs="Times New Roman"/>
                <w:color w:val="auto"/>
                <w:sz w:val="22"/>
                <w:szCs w:val="22"/>
              </w:rPr>
            </w:pPr>
            <w:r>
              <w:rPr>
                <w:rFonts w:ascii="Times New Roman" w:hAnsi="Times New Roman" w:cs="Times New Roman"/>
                <w:color w:val="auto"/>
                <w:sz w:val="22"/>
                <w:szCs w:val="22"/>
              </w:rPr>
              <w:t>(uz kuru iespējām konkrētā līguma izpildei balstās Pretendents, saskaņā ar nolikuma noteikumiem)</w:t>
            </w:r>
          </w:p>
        </w:tc>
        <w:tc>
          <w:tcPr>
            <w:tcW w:w="5520" w:type="dxa"/>
            <w:tcBorders>
              <w:top w:val="single" w:color="auto" w:sz="4" w:space="0"/>
              <w:left w:val="single" w:color="auto" w:sz="4" w:space="0"/>
              <w:bottom w:val="single" w:color="auto" w:sz="4" w:space="0"/>
              <w:right w:val="single" w:color="auto" w:sz="4" w:space="0"/>
            </w:tcBorders>
            <w:vAlign w:val="top"/>
          </w:tcPr>
          <w:p>
            <w:pPr>
              <w:pStyle w:val="10"/>
              <w:ind w:left="0"/>
              <w:rPr>
                <w:rFonts w:ascii="Times New Roman" w:hAnsi="Times New Roman" w:cs="Times New Roman"/>
                <w:color w:val="auto"/>
                <w:sz w:val="22"/>
                <w:szCs w:val="22"/>
              </w:rPr>
            </w:pPr>
          </w:p>
        </w:tc>
      </w:tr>
    </w:tbl>
    <w:p>
      <w:pPr>
        <w:widowControl w:val="0"/>
        <w:tabs>
          <w:tab w:val="left" w:pos="120"/>
          <w:tab w:val="left" w:pos="240"/>
        </w:tabs>
        <w:suppressAutoHyphens/>
        <w:jc w:val="both"/>
        <w:rPr>
          <w:color w:val="auto"/>
        </w:rPr>
      </w:pPr>
    </w:p>
    <w:p>
      <w:pPr>
        <w:jc w:val="both"/>
        <w:rPr>
          <w:color w:val="auto"/>
        </w:rPr>
      </w:pPr>
      <w:r>
        <w:rPr>
          <w:color w:val="auto"/>
        </w:rPr>
        <w:t>Saskaņā ar iepirkuma nolikumu, apakšā parakstījies apliecinu, ka:</w:t>
      </w:r>
    </w:p>
    <w:p>
      <w:pPr>
        <w:numPr>
          <w:ilvl w:val="0"/>
          <w:numId w:val="29"/>
        </w:numPr>
        <w:tabs>
          <w:tab w:val="left" w:pos="360"/>
          <w:tab w:val="left" w:pos="600"/>
        </w:tabs>
        <w:ind w:left="0" w:firstLine="0"/>
        <w:jc w:val="both"/>
        <w:rPr>
          <w:color w:val="auto"/>
        </w:rPr>
      </w:pPr>
      <w:r>
        <w:rPr>
          <w:i/>
          <w:color w:val="auto"/>
          <w:u w:val="single"/>
        </w:rPr>
        <w:t>&lt;Pretendents&gt;</w:t>
      </w:r>
      <w:r>
        <w:rPr>
          <w:color w:val="auto"/>
        </w:rPr>
        <w:t xml:space="preserve"> piekrīt iepirkuma nolikuma prasībām, tai skaitā tehniskajai specifikācijai, un garantē nolikuma prasību izpildi. Nolikuma noteikumi ir skaidri un saprotami.</w:t>
      </w:r>
    </w:p>
    <w:p>
      <w:pPr>
        <w:jc w:val="both"/>
        <w:rPr>
          <w:rFonts w:eastAsia="Calibri" w:cs="Calibri"/>
          <w:b/>
          <w:color w:val="auto"/>
        </w:rPr>
      </w:pPr>
      <w:r>
        <w:rPr>
          <w:color w:val="auto"/>
          <w:u w:val="single"/>
        </w:rPr>
        <w:t>&lt; Pretendents &gt;</w:t>
      </w:r>
      <w:r>
        <w:rPr>
          <w:color w:val="auto"/>
        </w:rPr>
        <w:t xml:space="preserve"> apņemas veikt iepirkuma </w:t>
      </w:r>
      <w:r>
        <w:rPr>
          <w:rFonts w:eastAsia="Calibri" w:cs="Calibri"/>
          <w:b/>
          <w:color w:val="auto"/>
        </w:rPr>
        <w:t>“</w:t>
      </w:r>
      <w:r>
        <w:rPr>
          <w:b/>
          <w:bCs/>
          <w:color w:val="auto"/>
        </w:rPr>
        <w:t>Elektroapgādes sistēmu mērījumi SIA “DOBELES NAMSAIMNIEKS” apsaimniekojamos objektos</w:t>
      </w:r>
      <w:r>
        <w:rPr>
          <w:rFonts w:eastAsia="Calibri" w:cs="Calibri"/>
          <w:b/>
          <w:color w:val="auto"/>
        </w:rPr>
        <w:t xml:space="preserve">” </w:t>
      </w:r>
      <w:r>
        <w:rPr>
          <w:color w:val="auto"/>
        </w:rPr>
        <w:t>identifikācijas Nr. SIA DN 20</w:t>
      </w:r>
      <w:r>
        <w:rPr>
          <w:rFonts w:hint="default"/>
          <w:color w:val="auto"/>
        </w:rPr>
        <w:t>20</w:t>
      </w:r>
      <w:r>
        <w:rPr>
          <w:color w:val="auto"/>
        </w:rPr>
        <w:t>/</w:t>
      </w:r>
      <w:r>
        <w:rPr>
          <w:rFonts w:hint="default"/>
          <w:color w:val="auto"/>
        </w:rPr>
        <w:t>12</w:t>
      </w:r>
      <w:r>
        <w:rPr>
          <w:color w:val="auto"/>
        </w:rPr>
        <w:t xml:space="preserve">, par kopējo cenu: </w:t>
      </w:r>
    </w:p>
    <w:p>
      <w:pPr>
        <w:tabs>
          <w:tab w:val="left" w:pos="600"/>
        </w:tabs>
        <w:jc w:val="both"/>
        <w:rPr>
          <w:color w:val="auto"/>
        </w:rPr>
      </w:pPr>
    </w:p>
    <w:tbl>
      <w:tblPr>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6658"/>
        <w:gridCol w:w="2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6658" w:type="dxa"/>
            <w:tcBorders>
              <w:top w:val="single" w:color="auto" w:sz="4" w:space="0"/>
              <w:left w:val="single" w:color="auto" w:sz="4" w:space="0"/>
              <w:bottom w:val="single" w:color="auto" w:sz="4" w:space="0"/>
              <w:right w:val="single" w:color="auto" w:sz="4" w:space="0"/>
            </w:tcBorders>
            <w:vAlign w:val="top"/>
          </w:tcPr>
          <w:p>
            <w:pPr>
              <w:tabs>
                <w:tab w:val="left" w:pos="600"/>
              </w:tabs>
              <w:jc w:val="center"/>
              <w:rPr>
                <w:b/>
                <w:color w:val="auto"/>
              </w:rPr>
            </w:pPr>
            <w:r>
              <w:rPr>
                <w:b/>
                <w:color w:val="auto"/>
              </w:rPr>
              <w:t>Darbi</w:t>
            </w:r>
          </w:p>
        </w:tc>
        <w:tc>
          <w:tcPr>
            <w:tcW w:w="2409" w:type="dxa"/>
            <w:tcBorders>
              <w:top w:val="single" w:color="auto" w:sz="4" w:space="0"/>
              <w:left w:val="single" w:color="auto" w:sz="4" w:space="0"/>
              <w:bottom w:val="single" w:color="auto" w:sz="4" w:space="0"/>
              <w:right w:val="single" w:color="auto" w:sz="4" w:space="0"/>
            </w:tcBorders>
            <w:vAlign w:val="top"/>
          </w:tcPr>
          <w:p>
            <w:pPr>
              <w:tabs>
                <w:tab w:val="left" w:pos="600"/>
              </w:tabs>
              <w:jc w:val="center"/>
              <w:rPr>
                <w:b/>
                <w:color w:val="auto"/>
              </w:rPr>
            </w:pPr>
            <w:r>
              <w:rPr>
                <w:b/>
                <w:color w:val="auto"/>
              </w:rPr>
              <w:t xml:space="preserve">Piedāvātā līgumcena </w:t>
            </w:r>
          </w:p>
          <w:p>
            <w:pPr>
              <w:tabs>
                <w:tab w:val="left" w:pos="600"/>
              </w:tabs>
              <w:jc w:val="center"/>
              <w:rPr>
                <w:b/>
                <w:color w:val="auto"/>
              </w:rPr>
            </w:pPr>
            <w:r>
              <w:rPr>
                <w:b/>
                <w:i/>
                <w:color w:val="auto"/>
              </w:rPr>
              <w:t>euro</w:t>
            </w:r>
            <w:r>
              <w:rPr>
                <w:b/>
                <w:color w:val="auto"/>
              </w:rPr>
              <w:t xml:space="preserve"> (bez PVN)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6658" w:type="dxa"/>
            <w:tcBorders>
              <w:top w:val="single" w:color="auto" w:sz="4" w:space="0"/>
              <w:left w:val="single" w:color="auto" w:sz="4" w:space="0"/>
              <w:bottom w:val="single" w:color="auto" w:sz="4" w:space="0"/>
              <w:right w:val="single" w:color="auto" w:sz="4" w:space="0"/>
            </w:tcBorders>
            <w:vAlign w:val="top"/>
          </w:tcPr>
          <w:p>
            <w:pPr>
              <w:jc w:val="both"/>
              <w:rPr>
                <w:color w:val="auto"/>
              </w:rPr>
            </w:pPr>
          </w:p>
        </w:tc>
        <w:tc>
          <w:tcPr>
            <w:tcW w:w="2409" w:type="dxa"/>
            <w:tcBorders>
              <w:top w:val="single" w:color="auto" w:sz="4" w:space="0"/>
              <w:left w:val="single" w:color="auto" w:sz="4" w:space="0"/>
              <w:bottom w:val="single" w:color="auto" w:sz="4" w:space="0"/>
              <w:right w:val="single" w:color="auto" w:sz="4" w:space="0"/>
            </w:tcBorders>
            <w:vAlign w:val="top"/>
          </w:tcPr>
          <w:p>
            <w:pPr>
              <w:tabs>
                <w:tab w:val="left" w:pos="600"/>
              </w:tabs>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6658" w:type="dxa"/>
            <w:tcBorders>
              <w:top w:val="single" w:color="auto" w:sz="4" w:space="0"/>
              <w:left w:val="single" w:color="auto" w:sz="4" w:space="0"/>
              <w:bottom w:val="single" w:color="auto" w:sz="4" w:space="0"/>
              <w:right w:val="single" w:color="auto" w:sz="4" w:space="0"/>
            </w:tcBorders>
            <w:vAlign w:val="top"/>
          </w:tcPr>
          <w:p>
            <w:pPr>
              <w:jc w:val="right"/>
              <w:rPr>
                <w:b/>
                <w:color w:val="auto"/>
              </w:rPr>
            </w:pPr>
            <w:r>
              <w:rPr>
                <w:b/>
                <w:color w:val="auto"/>
              </w:rPr>
              <w:t>KOPĀ EUR, bez PVN</w:t>
            </w:r>
          </w:p>
        </w:tc>
        <w:tc>
          <w:tcPr>
            <w:tcW w:w="2409" w:type="dxa"/>
            <w:tcBorders>
              <w:top w:val="single" w:color="auto" w:sz="4" w:space="0"/>
              <w:left w:val="single" w:color="auto" w:sz="4" w:space="0"/>
              <w:bottom w:val="single" w:color="auto" w:sz="4" w:space="0"/>
              <w:right w:val="single" w:color="auto" w:sz="4" w:space="0"/>
            </w:tcBorders>
            <w:vAlign w:val="top"/>
          </w:tcPr>
          <w:p>
            <w:pPr>
              <w:tabs>
                <w:tab w:val="left" w:pos="600"/>
              </w:tabs>
              <w:rPr>
                <w:b/>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6658" w:type="dxa"/>
            <w:tcBorders>
              <w:top w:val="single" w:color="auto" w:sz="4" w:space="0"/>
              <w:left w:val="single" w:color="auto" w:sz="4" w:space="0"/>
              <w:bottom w:val="single" w:color="auto" w:sz="4" w:space="0"/>
              <w:right w:val="single" w:color="auto" w:sz="4" w:space="0"/>
            </w:tcBorders>
            <w:vAlign w:val="top"/>
          </w:tcPr>
          <w:p>
            <w:pPr>
              <w:jc w:val="right"/>
              <w:rPr>
                <w:b/>
                <w:color w:val="auto"/>
              </w:rPr>
            </w:pPr>
            <w:r>
              <w:rPr>
                <w:b/>
                <w:color w:val="auto"/>
              </w:rPr>
              <w:t>PVN, EUR</w:t>
            </w:r>
          </w:p>
        </w:tc>
        <w:tc>
          <w:tcPr>
            <w:tcW w:w="2409" w:type="dxa"/>
            <w:tcBorders>
              <w:top w:val="single" w:color="auto" w:sz="4" w:space="0"/>
              <w:left w:val="single" w:color="auto" w:sz="4" w:space="0"/>
              <w:bottom w:val="single" w:color="auto" w:sz="4" w:space="0"/>
              <w:right w:val="single" w:color="auto" w:sz="4" w:space="0"/>
            </w:tcBorders>
            <w:vAlign w:val="top"/>
          </w:tcPr>
          <w:p>
            <w:pPr>
              <w:tabs>
                <w:tab w:val="left" w:pos="600"/>
              </w:tabs>
              <w:jc w:val="right"/>
              <w:rPr>
                <w:b/>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6658" w:type="dxa"/>
            <w:tcBorders>
              <w:top w:val="single" w:color="auto" w:sz="4" w:space="0"/>
              <w:left w:val="single" w:color="auto" w:sz="4" w:space="0"/>
              <w:bottom w:val="single" w:color="auto" w:sz="4" w:space="0"/>
              <w:right w:val="single" w:color="auto" w:sz="4" w:space="0"/>
            </w:tcBorders>
            <w:vAlign w:val="top"/>
          </w:tcPr>
          <w:p>
            <w:pPr>
              <w:jc w:val="right"/>
              <w:rPr>
                <w:b/>
                <w:color w:val="auto"/>
              </w:rPr>
            </w:pPr>
            <w:r>
              <w:rPr>
                <w:b/>
                <w:color w:val="auto"/>
              </w:rPr>
              <w:t>Kopā piedāvātā līgumcena EUR, ar PVN</w:t>
            </w:r>
          </w:p>
        </w:tc>
        <w:tc>
          <w:tcPr>
            <w:tcW w:w="2409" w:type="dxa"/>
            <w:tcBorders>
              <w:top w:val="single" w:color="auto" w:sz="4" w:space="0"/>
              <w:left w:val="single" w:color="auto" w:sz="4" w:space="0"/>
              <w:bottom w:val="single" w:color="auto" w:sz="4" w:space="0"/>
              <w:right w:val="single" w:color="auto" w:sz="4" w:space="0"/>
            </w:tcBorders>
            <w:vAlign w:val="top"/>
          </w:tcPr>
          <w:p>
            <w:pPr>
              <w:tabs>
                <w:tab w:val="left" w:pos="600"/>
              </w:tabs>
              <w:jc w:val="right"/>
              <w:rPr>
                <w:b/>
                <w:color w:val="auto"/>
              </w:rPr>
            </w:pPr>
          </w:p>
        </w:tc>
      </w:tr>
    </w:tbl>
    <w:p>
      <w:pPr>
        <w:tabs>
          <w:tab w:val="left" w:pos="600"/>
        </w:tabs>
        <w:jc w:val="right"/>
        <w:rPr>
          <w:color w:val="auto"/>
        </w:rPr>
      </w:pPr>
    </w:p>
    <w:p>
      <w:pPr>
        <w:tabs>
          <w:tab w:val="left" w:pos="600"/>
        </w:tabs>
        <w:jc w:val="both"/>
        <w:rPr>
          <w:color w:val="auto"/>
        </w:rPr>
      </w:pPr>
      <w:r>
        <w:rPr>
          <w:color w:val="auto"/>
        </w:rPr>
        <w:t>Papildus pievienots izmaksu aprēķins uz ____lapām</w:t>
      </w:r>
    </w:p>
    <w:p>
      <w:pPr>
        <w:tabs>
          <w:tab w:val="left" w:pos="600"/>
        </w:tabs>
        <w:jc w:val="both"/>
        <w:rPr>
          <w:color w:val="auto"/>
        </w:rPr>
      </w:pPr>
    </w:p>
    <w:p>
      <w:pPr>
        <w:numPr>
          <w:ilvl w:val="0"/>
          <w:numId w:val="30"/>
        </w:numPr>
        <w:tabs>
          <w:tab w:val="left" w:pos="600"/>
        </w:tabs>
        <w:jc w:val="both"/>
        <w:rPr>
          <w:color w:val="auto"/>
        </w:rPr>
      </w:pPr>
      <w:r>
        <w:rPr>
          <w:color w:val="auto"/>
        </w:rPr>
        <w:t>Līguma izpildes termiņš: _____kalendāro dienu laikā no līguma parakstīšanas dienas, no 20</w:t>
      </w:r>
      <w:r>
        <w:rPr>
          <w:rFonts w:hint="default"/>
          <w:color w:val="auto"/>
        </w:rPr>
        <w:t>20</w:t>
      </w:r>
      <w:r>
        <w:rPr>
          <w:color w:val="auto"/>
        </w:rPr>
        <w:t>.gada ___. ____________līdz 20</w:t>
      </w:r>
      <w:r>
        <w:rPr>
          <w:rFonts w:hint="default"/>
          <w:color w:val="auto"/>
        </w:rPr>
        <w:t>20</w:t>
      </w:r>
      <w:r>
        <w:rPr>
          <w:color w:val="auto"/>
        </w:rPr>
        <w:t>.gada ____.______________. Pielikumā pievienots darbu izpildes grafiks ____lpp.</w:t>
      </w:r>
    </w:p>
    <w:p>
      <w:pPr>
        <w:numPr>
          <w:ilvl w:val="0"/>
          <w:numId w:val="30"/>
        </w:numPr>
        <w:tabs>
          <w:tab w:val="left" w:pos="600"/>
        </w:tabs>
        <w:jc w:val="both"/>
        <w:rPr>
          <w:color w:val="auto"/>
        </w:rPr>
      </w:pPr>
      <w:r>
        <w:rPr>
          <w:color w:val="auto"/>
          <w:u w:val="single"/>
        </w:rPr>
        <w:t xml:space="preserve">&lt;Pretendents&gt; </w:t>
      </w:r>
      <w:r>
        <w:rPr>
          <w:color w:val="auto"/>
        </w:rPr>
        <w:t>apņemas iepirkuma piešķiršanas gadījumā pildīt visus nolikumā noteiktos nosacījumus un strādāt pie kvalitatīvas līguma izpildes.</w:t>
      </w:r>
    </w:p>
    <w:p>
      <w:pPr>
        <w:numPr>
          <w:ilvl w:val="0"/>
          <w:numId w:val="30"/>
        </w:numPr>
        <w:tabs>
          <w:tab w:val="left" w:pos="600"/>
        </w:tabs>
        <w:jc w:val="both"/>
        <w:rPr>
          <w:color w:val="auto"/>
        </w:rPr>
      </w:pPr>
      <w:r>
        <w:rPr>
          <w:color w:val="auto"/>
        </w:rPr>
        <w:t>Apliecinām, ka iesniegtās ziņas ir pilnīgas un patiesas</w:t>
      </w:r>
    </w:p>
    <w:p>
      <w:pPr>
        <w:numPr>
          <w:ilvl w:val="0"/>
          <w:numId w:val="30"/>
        </w:numPr>
        <w:tabs>
          <w:tab w:val="left" w:pos="600"/>
        </w:tabs>
        <w:jc w:val="both"/>
        <w:rPr>
          <w:color w:val="auto"/>
        </w:rPr>
      </w:pPr>
      <w:r>
        <w:rPr>
          <w:color w:val="auto"/>
        </w:rPr>
        <w:t>Iesniedzot šo pieteikumu, apzināmies un pilnībā uzņemamies visus riskus un atbildību par iesniegto piedāvājumu</w:t>
      </w:r>
    </w:p>
    <w:p>
      <w:pPr>
        <w:numPr>
          <w:ilvl w:val="0"/>
          <w:numId w:val="30"/>
        </w:numPr>
        <w:tabs>
          <w:tab w:val="left" w:pos="600"/>
        </w:tabs>
        <w:jc w:val="both"/>
        <w:rPr>
          <w:color w:val="auto"/>
        </w:rPr>
      </w:pPr>
      <w:r>
        <w:rPr>
          <w:color w:val="auto"/>
        </w:rPr>
        <w:t>Finanšu piedāvājumā ir norādīta līgumcena - kopējā cena par kādu tiks veikti Darbi (kopējā piedāvājuma cena), kā arī vienības cenas, izmaksu pozīcijas un to izmaksas.</w:t>
      </w:r>
    </w:p>
    <w:p>
      <w:pPr>
        <w:numPr>
          <w:ilvl w:val="0"/>
          <w:numId w:val="30"/>
        </w:numPr>
        <w:tabs>
          <w:tab w:val="left" w:pos="600"/>
        </w:tabs>
        <w:jc w:val="both"/>
        <w:rPr>
          <w:color w:val="auto"/>
        </w:rPr>
      </w:pPr>
      <w:r>
        <w:rPr>
          <w:color w:val="auto"/>
        </w:rPr>
        <w:t xml:space="preserve">Tāmē ir iekļauti visi darbi un materiāli, lai nodrošinātu darbu izpildi atbilstoši Projektam, Latvijas Republikā spēkā esošajiem normatīvajiem aktiem un katra konkrētā tehnoloģiskā procesa prasībām. </w:t>
      </w:r>
    </w:p>
    <w:p>
      <w:pPr>
        <w:numPr>
          <w:ilvl w:val="0"/>
          <w:numId w:val="30"/>
        </w:numPr>
        <w:tabs>
          <w:tab w:val="left" w:pos="600"/>
        </w:tabs>
        <w:jc w:val="both"/>
        <w:rPr>
          <w:color w:val="auto"/>
        </w:rPr>
      </w:pPr>
      <w:r>
        <w:rPr>
          <w:color w:val="auto"/>
        </w:rPr>
        <w:t>Tāmē ir iekļauti visi darbi un materiāli, pat, ja Pasūtītājs tos nav iekļāvis savā tāmē, bet to nepieciešamība izriet no  faktiskās situācijas</w:t>
      </w:r>
      <w:r>
        <w:rPr>
          <w:rFonts w:hint="default"/>
          <w:color w:val="auto"/>
        </w:rPr>
        <w:t>.</w:t>
      </w:r>
    </w:p>
    <w:p>
      <w:pPr>
        <w:numPr>
          <w:ilvl w:val="0"/>
          <w:numId w:val="30"/>
        </w:numPr>
        <w:tabs>
          <w:tab w:val="left" w:pos="600"/>
        </w:tabs>
        <w:jc w:val="both"/>
        <w:rPr>
          <w:color w:val="auto"/>
        </w:rPr>
      </w:pPr>
      <w:r>
        <w:rPr>
          <w:color w:val="auto"/>
        </w:rPr>
        <w:t>Vienību cenas ir fiksētas uz visu Darba izpildes laiku un netiks pārrēķinātas, izņemot iepirkuma līgumā paredzētajos gadījumos.</w:t>
      </w:r>
    </w:p>
    <w:p>
      <w:pPr>
        <w:tabs>
          <w:tab w:val="left" w:pos="600"/>
        </w:tabs>
        <w:ind w:left="57"/>
        <w:jc w:val="both"/>
        <w:rPr>
          <w:color w:val="auto"/>
        </w:rPr>
      </w:pPr>
    </w:p>
    <w:p>
      <w:pPr>
        <w:widowControl w:val="0"/>
        <w:suppressAutoHyphens/>
        <w:jc w:val="both"/>
        <w:rPr>
          <w:color w:val="auto"/>
        </w:rPr>
      </w:pPr>
    </w:p>
    <w:p>
      <w:pPr>
        <w:keepNext/>
        <w:rPr>
          <w:color w:val="auto"/>
          <w:sz w:val="18"/>
          <w:szCs w:val="18"/>
        </w:rPr>
      </w:pPr>
      <w:r>
        <w:rPr>
          <w:color w:val="auto"/>
          <w:sz w:val="18"/>
          <w:szCs w:val="18"/>
        </w:rPr>
        <w:t>Paraksts *: ___________________________________</w:t>
      </w:r>
    </w:p>
    <w:p>
      <w:pPr>
        <w:jc w:val="both"/>
        <w:rPr>
          <w:color w:val="auto"/>
          <w:sz w:val="18"/>
          <w:szCs w:val="18"/>
        </w:rPr>
      </w:pPr>
      <w:r>
        <w:rPr>
          <w:color w:val="auto"/>
          <w:sz w:val="18"/>
          <w:szCs w:val="18"/>
        </w:rPr>
        <w:t xml:space="preserve">                              Pretendenta vadītājs vai pilnvarotais pārstāvis </w:t>
      </w:r>
    </w:p>
    <w:p>
      <w:pPr>
        <w:rPr>
          <w:color w:val="auto"/>
          <w:sz w:val="18"/>
          <w:szCs w:val="18"/>
        </w:rPr>
      </w:pPr>
      <w:r>
        <w:rPr>
          <w:color w:val="auto"/>
          <w:sz w:val="18"/>
          <w:szCs w:val="18"/>
        </w:rPr>
        <w:t>Vārds, uzvārds: _________________________________</w:t>
      </w:r>
    </w:p>
    <w:p>
      <w:pPr>
        <w:jc w:val="both"/>
        <w:rPr>
          <w:color w:val="auto"/>
          <w:sz w:val="18"/>
          <w:szCs w:val="18"/>
        </w:rPr>
      </w:pPr>
      <w:r>
        <w:rPr>
          <w:color w:val="auto"/>
          <w:sz w:val="18"/>
          <w:szCs w:val="18"/>
        </w:rPr>
        <w:t>Amats: ________________________________________</w:t>
      </w:r>
    </w:p>
    <w:p>
      <w:pPr>
        <w:jc w:val="both"/>
        <w:rPr>
          <w:color w:val="auto"/>
          <w:sz w:val="22"/>
          <w:szCs w:val="22"/>
        </w:rPr>
      </w:pPr>
    </w:p>
    <w:p>
      <w:pPr>
        <w:tabs>
          <w:tab w:val="left" w:pos="540"/>
        </w:tabs>
        <w:ind w:hanging="540"/>
        <w:jc w:val="both"/>
        <w:rPr>
          <w:i/>
          <w:color w:val="auto"/>
          <w:sz w:val="20"/>
          <w:szCs w:val="20"/>
        </w:rPr>
      </w:pPr>
      <w:r>
        <w:rPr>
          <w:i/>
          <w:color w:val="auto"/>
          <w:sz w:val="20"/>
          <w:szCs w:val="20"/>
        </w:rPr>
        <w:t>*</w:t>
      </w:r>
      <w:r>
        <w:rPr>
          <w:i/>
          <w:color w:val="auto"/>
          <w:sz w:val="20"/>
          <w:szCs w:val="20"/>
        </w:rPr>
        <w:tab/>
      </w:r>
      <w:r>
        <w:rPr>
          <w:i/>
          <w:color w:val="auto"/>
          <w:sz w:val="20"/>
          <w:szCs w:val="20"/>
        </w:rPr>
        <w:t>Pieteikums ir jāparaksta pretendenta vadītājam vai viņa pilnvarotai personai (šādā gadījumā pretendenta piedāvājumam obligāti jāpievieno pilnvara).</w:t>
      </w:r>
    </w:p>
    <w:p>
      <w:pPr>
        <w:jc w:val="right"/>
        <w:rPr>
          <w:b/>
          <w:color w:val="FF0000"/>
        </w:rPr>
      </w:pPr>
    </w:p>
    <w:p>
      <w:pPr>
        <w:autoSpaceDE w:val="0"/>
        <w:autoSpaceDN w:val="0"/>
        <w:adjustRightInd w:val="0"/>
        <w:rPr>
          <w:color w:val="FF0000"/>
          <w:sz w:val="22"/>
          <w:szCs w:val="22"/>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r>
        <w:rPr>
          <w:rFonts w:eastAsia="Times New Roman" w:cs="Times New Roman"/>
          <w:color w:val="FF0000"/>
          <w:szCs w:val="24"/>
          <w:lang w:eastAsia="ar-SA"/>
        </w:rPr>
        <w:br w:type="page"/>
      </w:r>
    </w:p>
    <w:p>
      <w:pPr>
        <w:suppressAutoHyphens/>
        <w:spacing w:after="0" w:line="240" w:lineRule="auto"/>
        <w:jc w:val="right"/>
        <w:rPr>
          <w:rFonts w:eastAsia="Times New Roman" w:cs="Times New Roman"/>
          <w:bCs/>
          <w:iCs/>
          <w:color w:val="auto"/>
          <w:sz w:val="22"/>
          <w:lang w:eastAsia="ar-SA"/>
        </w:rPr>
      </w:pPr>
      <w:r>
        <w:rPr>
          <w:rFonts w:eastAsia="Times New Roman" w:cs="Times New Roman"/>
          <w:bCs/>
          <w:iCs/>
          <w:color w:val="auto"/>
          <w:sz w:val="22"/>
          <w:lang w:eastAsia="ar-SA"/>
        </w:rPr>
        <w:t>Nolikuma pielikums Nr.</w:t>
      </w:r>
      <w:r>
        <w:rPr>
          <w:rFonts w:hint="default" w:eastAsia="Times New Roman" w:cs="Times New Roman"/>
          <w:bCs/>
          <w:iCs/>
          <w:color w:val="auto"/>
          <w:sz w:val="22"/>
          <w:lang w:eastAsia="ar-SA"/>
        </w:rPr>
        <w:t>3</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 xml:space="preserve">SIA “DOBELES NAMSAIMNIEKS” izsludinātajā iepirkumā </w:t>
      </w:r>
    </w:p>
    <w:p>
      <w:pPr>
        <w:suppressAutoHyphens/>
        <w:spacing w:after="0" w:line="240" w:lineRule="auto"/>
        <w:jc w:val="right"/>
        <w:rPr>
          <w:rFonts w:eastAsia="Times New Roman" w:cs="Times New Roman"/>
          <w:bCs/>
          <w:iCs/>
          <w:color w:val="auto"/>
          <w:sz w:val="22"/>
          <w:lang w:eastAsia="ar-SA"/>
        </w:rPr>
      </w:pPr>
      <w:r>
        <w:rPr>
          <w:rFonts w:eastAsia="Times New Roman" w:cs="Times New Roman"/>
          <w:iCs/>
          <w:color w:val="auto"/>
          <w:sz w:val="22"/>
          <w:lang w:eastAsia="ar-SA"/>
        </w:rPr>
        <w:t>ID Nr. SIA DN 20</w:t>
      </w:r>
      <w:r>
        <w:rPr>
          <w:rFonts w:hint="default" w:eastAsia="Times New Roman" w:cs="Times New Roman"/>
          <w:iCs/>
          <w:color w:val="auto"/>
          <w:sz w:val="22"/>
          <w:lang w:eastAsia="ar-SA"/>
        </w:rPr>
        <w:t>20/12</w:t>
      </w:r>
    </w:p>
    <w:p>
      <w:pPr>
        <w:suppressAutoHyphens/>
        <w:spacing w:before="120" w:after="0" w:line="240" w:lineRule="auto"/>
        <w:jc w:val="right"/>
        <w:rPr>
          <w:rFonts w:eastAsia="Times New Roman" w:cs="Times New Roman"/>
          <w:color w:val="auto"/>
          <w:szCs w:val="24"/>
          <w:lang w:eastAsia="ar-SA"/>
        </w:rPr>
      </w:pPr>
    </w:p>
    <w:p>
      <w:pPr>
        <w:autoSpaceDE w:val="0"/>
        <w:jc w:val="both"/>
        <w:rPr>
          <w:rFonts w:cs="Arial"/>
          <w:bCs/>
          <w:color w:val="auto"/>
        </w:rPr>
      </w:pPr>
    </w:p>
    <w:p>
      <w:pPr>
        <w:jc w:val="center"/>
        <w:rPr>
          <w:b/>
          <w:caps/>
          <w:color w:val="auto"/>
          <w:sz w:val="28"/>
          <w:szCs w:val="28"/>
        </w:rPr>
      </w:pPr>
      <w:r>
        <w:rPr>
          <w:b/>
          <w:caps/>
          <w:color w:val="auto"/>
          <w:sz w:val="28"/>
          <w:szCs w:val="28"/>
        </w:rPr>
        <w:t>pretendenta FINANŠU APGROZĪJUMS</w:t>
      </w:r>
    </w:p>
    <w:p>
      <w:pPr>
        <w:rPr>
          <w:color w:val="auto"/>
        </w:rPr>
      </w:pPr>
    </w:p>
    <w:p>
      <w:pPr>
        <w:rPr>
          <w:color w:val="auto"/>
        </w:rPr>
      </w:pPr>
    </w:p>
    <w:tbl>
      <w:tblPr>
        <w:tblpPr w:leftFromText="180" w:rightFromText="180" w:vertAnchor="text" w:horzAnchor="page" w:tblpX="1935" w:tblpY="370"/>
        <w:tblOverlap w:val="never"/>
        <w:tblW w:w="84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657"/>
        <w:gridCol w:w="2693"/>
        <w:gridCol w:w="31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657" w:type="dxa"/>
            <w:vAlign w:val="center"/>
          </w:tcPr>
          <w:p>
            <w:pPr>
              <w:jc w:val="center"/>
              <w:rPr>
                <w:color w:val="auto"/>
                <w:sz w:val="24"/>
                <w:szCs w:val="24"/>
              </w:rPr>
            </w:pPr>
            <w:r>
              <w:rPr>
                <w:color w:val="auto"/>
                <w:sz w:val="24"/>
                <w:szCs w:val="24"/>
              </w:rPr>
              <w:t>201</w:t>
            </w:r>
            <w:r>
              <w:rPr>
                <w:rFonts w:hint="default"/>
                <w:color w:val="auto"/>
                <w:sz w:val="24"/>
                <w:szCs w:val="24"/>
              </w:rPr>
              <w:t>7</w:t>
            </w:r>
            <w:r>
              <w:rPr>
                <w:color w:val="auto"/>
                <w:sz w:val="24"/>
                <w:szCs w:val="24"/>
              </w:rPr>
              <w:t>.gads</w:t>
            </w:r>
          </w:p>
        </w:tc>
        <w:tc>
          <w:tcPr>
            <w:tcW w:w="2693" w:type="dxa"/>
            <w:vAlign w:val="center"/>
          </w:tcPr>
          <w:p>
            <w:pPr>
              <w:jc w:val="center"/>
              <w:rPr>
                <w:color w:val="auto"/>
                <w:sz w:val="24"/>
                <w:szCs w:val="24"/>
              </w:rPr>
            </w:pPr>
            <w:r>
              <w:rPr>
                <w:color w:val="auto"/>
                <w:sz w:val="24"/>
                <w:szCs w:val="24"/>
              </w:rPr>
              <w:t>201</w:t>
            </w:r>
            <w:r>
              <w:rPr>
                <w:rFonts w:hint="default"/>
                <w:color w:val="auto"/>
                <w:sz w:val="24"/>
                <w:szCs w:val="24"/>
              </w:rPr>
              <w:t>8</w:t>
            </w:r>
            <w:r>
              <w:rPr>
                <w:color w:val="auto"/>
                <w:sz w:val="24"/>
                <w:szCs w:val="24"/>
              </w:rPr>
              <w:t>.gads</w:t>
            </w:r>
          </w:p>
        </w:tc>
        <w:tc>
          <w:tcPr>
            <w:tcW w:w="3119" w:type="dxa"/>
            <w:vAlign w:val="center"/>
          </w:tcPr>
          <w:p>
            <w:pPr>
              <w:jc w:val="center"/>
              <w:rPr>
                <w:color w:val="auto"/>
                <w:sz w:val="24"/>
                <w:szCs w:val="24"/>
              </w:rPr>
            </w:pPr>
            <w:r>
              <w:rPr>
                <w:color w:val="auto"/>
                <w:sz w:val="24"/>
                <w:szCs w:val="24"/>
              </w:rPr>
              <w:t>201</w:t>
            </w:r>
            <w:r>
              <w:rPr>
                <w:rFonts w:hint="default"/>
                <w:color w:val="auto"/>
                <w:sz w:val="24"/>
                <w:szCs w:val="24"/>
              </w:rPr>
              <w:t>9</w:t>
            </w:r>
            <w:r>
              <w:rPr>
                <w:color w:val="auto"/>
                <w:sz w:val="24"/>
                <w:szCs w:val="24"/>
              </w:rPr>
              <w:t>.gads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657" w:type="dxa"/>
            <w:vAlign w:val="top"/>
          </w:tcPr>
          <w:p>
            <w:pPr>
              <w:rPr>
                <w:color w:val="auto"/>
                <w:sz w:val="24"/>
                <w:szCs w:val="24"/>
              </w:rPr>
            </w:pPr>
          </w:p>
          <w:p>
            <w:pPr>
              <w:rPr>
                <w:color w:val="auto"/>
                <w:sz w:val="24"/>
                <w:szCs w:val="24"/>
              </w:rPr>
            </w:pPr>
          </w:p>
          <w:p>
            <w:pPr>
              <w:rPr>
                <w:color w:val="auto"/>
                <w:sz w:val="24"/>
                <w:szCs w:val="24"/>
              </w:rPr>
            </w:pPr>
          </w:p>
        </w:tc>
        <w:tc>
          <w:tcPr>
            <w:tcW w:w="2693" w:type="dxa"/>
            <w:vAlign w:val="top"/>
          </w:tcPr>
          <w:p>
            <w:pPr>
              <w:rPr>
                <w:color w:val="auto"/>
                <w:sz w:val="24"/>
                <w:szCs w:val="24"/>
              </w:rPr>
            </w:pPr>
          </w:p>
        </w:tc>
        <w:tc>
          <w:tcPr>
            <w:tcW w:w="3119" w:type="dxa"/>
            <w:vAlign w:val="top"/>
          </w:tcPr>
          <w:p>
            <w:pPr>
              <w:rPr>
                <w:color w:val="auto"/>
                <w:sz w:val="24"/>
                <w:szCs w:val="24"/>
              </w:rPr>
            </w:pPr>
          </w:p>
        </w:tc>
      </w:tr>
    </w:tbl>
    <w:p>
      <w:pPr>
        <w:rPr>
          <w:color w:val="auto"/>
        </w:rPr>
      </w:pPr>
    </w:p>
    <w:p>
      <w:pPr>
        <w:rPr>
          <w:color w:val="auto"/>
        </w:rPr>
      </w:pPr>
    </w:p>
    <w:p>
      <w:pPr>
        <w:rPr>
          <w:color w:val="auto"/>
        </w:rPr>
      </w:pPr>
    </w:p>
    <w:p>
      <w:pPr>
        <w:rPr>
          <w:color w:val="auto"/>
          <w:sz w:val="24"/>
          <w:szCs w:val="24"/>
        </w:rPr>
      </w:pPr>
      <w:r>
        <w:rPr>
          <w:color w:val="auto"/>
          <w:sz w:val="24"/>
          <w:szCs w:val="24"/>
        </w:rPr>
        <w:t>Pretendenta pilnvarotās personas paraksts:  ............................................................................</w:t>
      </w:r>
    </w:p>
    <w:p>
      <w:pPr>
        <w:autoSpaceDE w:val="0"/>
        <w:jc w:val="both"/>
        <w:rPr>
          <w:rFonts w:cs="Arial"/>
          <w:bCs/>
          <w:color w:val="FF0000"/>
          <w:sz w:val="24"/>
          <w:szCs w:val="24"/>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hint="default" w:eastAsia="Times New Roman" w:cs="Times New Roman"/>
          <w:bCs/>
          <w:iCs/>
          <w:color w:val="auto"/>
          <w:sz w:val="22"/>
          <w:lang w:eastAsia="ar-SA"/>
        </w:rPr>
      </w:pPr>
      <w:r>
        <w:rPr>
          <w:rFonts w:eastAsia="Times New Roman" w:cs="Times New Roman"/>
          <w:bCs/>
          <w:iCs/>
          <w:color w:val="auto"/>
          <w:sz w:val="22"/>
          <w:lang w:eastAsia="ar-SA"/>
        </w:rPr>
        <w:t>Nolikuma pielikums Nr.</w:t>
      </w:r>
      <w:r>
        <w:rPr>
          <w:rFonts w:hint="default" w:eastAsia="Times New Roman" w:cs="Times New Roman"/>
          <w:bCs/>
          <w:iCs/>
          <w:color w:val="auto"/>
          <w:sz w:val="22"/>
          <w:lang w:eastAsia="ar-SA"/>
        </w:rPr>
        <w:t>4</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 xml:space="preserve">SIA “DOBELES NAMSAIMNIEKS” izsludinātajā iepirkumā </w:t>
      </w:r>
    </w:p>
    <w:p>
      <w:pPr>
        <w:suppressAutoHyphens/>
        <w:spacing w:after="0" w:line="240" w:lineRule="auto"/>
        <w:jc w:val="right"/>
        <w:rPr>
          <w:rFonts w:eastAsia="Times New Roman" w:cs="Times New Roman"/>
          <w:bCs/>
          <w:iCs/>
          <w:color w:val="auto"/>
          <w:sz w:val="22"/>
          <w:lang w:eastAsia="ar-SA"/>
        </w:rPr>
      </w:pPr>
      <w:r>
        <w:rPr>
          <w:rFonts w:eastAsia="Times New Roman" w:cs="Times New Roman"/>
          <w:iCs/>
          <w:color w:val="auto"/>
          <w:sz w:val="22"/>
          <w:lang w:eastAsia="ar-SA"/>
        </w:rPr>
        <w:t>ID Nr. SIA DN 20</w:t>
      </w:r>
      <w:r>
        <w:rPr>
          <w:rFonts w:hint="default" w:eastAsia="Times New Roman" w:cs="Times New Roman"/>
          <w:iCs/>
          <w:color w:val="auto"/>
          <w:sz w:val="22"/>
          <w:lang w:eastAsia="ar-SA"/>
        </w:rPr>
        <w:t>20/12</w:t>
      </w:r>
    </w:p>
    <w:p>
      <w:pPr>
        <w:suppressAutoHyphens/>
        <w:spacing w:before="120" w:after="0" w:line="240" w:lineRule="auto"/>
        <w:jc w:val="right"/>
        <w:rPr>
          <w:rFonts w:eastAsia="Times New Roman" w:cs="Times New Roman"/>
          <w:color w:val="auto"/>
          <w:szCs w:val="24"/>
          <w:lang w:eastAsia="ar-SA"/>
        </w:rPr>
      </w:pPr>
    </w:p>
    <w:p>
      <w:pPr>
        <w:suppressAutoHyphens/>
        <w:spacing w:before="120" w:after="0" w:line="240" w:lineRule="auto"/>
        <w:jc w:val="right"/>
        <w:rPr>
          <w:rFonts w:eastAsia="Times New Roman" w:cs="Times New Roman"/>
          <w:color w:val="auto"/>
          <w:szCs w:val="24"/>
          <w:lang w:eastAsia="ar-SA"/>
        </w:rPr>
      </w:pPr>
    </w:p>
    <w:p>
      <w:pPr>
        <w:jc w:val="center"/>
        <w:rPr>
          <w:b/>
          <w:caps/>
          <w:color w:val="auto"/>
          <w:sz w:val="28"/>
          <w:szCs w:val="28"/>
        </w:rPr>
      </w:pPr>
      <w:r>
        <w:rPr>
          <w:b/>
          <w:caps/>
          <w:color w:val="auto"/>
          <w:sz w:val="28"/>
          <w:szCs w:val="28"/>
        </w:rPr>
        <w:t>pretendenta pieredzeS APLIECINĀJUMS</w:t>
      </w:r>
    </w:p>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p>
    <w:tbl>
      <w:tblPr>
        <w:tblW w:w="9432"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540"/>
        <w:gridCol w:w="2088"/>
        <w:gridCol w:w="2127"/>
        <w:gridCol w:w="2268"/>
        <w:gridCol w:w="2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540" w:type="dxa"/>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Nr.</w:t>
            </w:r>
          </w:p>
        </w:tc>
        <w:tc>
          <w:tcPr>
            <w:tcW w:w="2088" w:type="dxa"/>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Pakalpojuma nosaukums</w:t>
            </w:r>
          </w:p>
        </w:tc>
        <w:tc>
          <w:tcPr>
            <w:tcW w:w="2127" w:type="dxa"/>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Pakalpojuma apjoms, EUR (bez PVN)</w:t>
            </w:r>
          </w:p>
        </w:tc>
        <w:tc>
          <w:tcPr>
            <w:tcW w:w="2268" w:type="dxa"/>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Pasūtītāja nosaukums, adrese, kontaktpersona</w:t>
            </w:r>
          </w:p>
        </w:tc>
        <w:tc>
          <w:tcPr>
            <w:tcW w:w="2409" w:type="dxa"/>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Izpildes gads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40" w:type="dxa"/>
            <w:vAlign w:val="top"/>
          </w:tcPr>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w:t>
            </w:r>
          </w:p>
        </w:tc>
        <w:tc>
          <w:tcPr>
            <w:tcW w:w="2088" w:type="dxa"/>
            <w:vAlign w:val="top"/>
          </w:tcPr>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p>
        </w:tc>
        <w:tc>
          <w:tcPr>
            <w:tcW w:w="2127" w:type="dxa"/>
            <w:vAlign w:val="top"/>
          </w:tcPr>
          <w:p>
            <w:pPr>
              <w:rPr>
                <w:rFonts w:hint="default" w:ascii="Times New Roman" w:hAnsi="Times New Roman" w:cs="Times New Roman"/>
                <w:color w:val="auto"/>
                <w:sz w:val="24"/>
                <w:szCs w:val="24"/>
              </w:rPr>
            </w:pPr>
          </w:p>
        </w:tc>
        <w:tc>
          <w:tcPr>
            <w:tcW w:w="2268" w:type="dxa"/>
            <w:vAlign w:val="top"/>
          </w:tcPr>
          <w:p>
            <w:pPr>
              <w:rPr>
                <w:rFonts w:hint="default" w:ascii="Times New Roman" w:hAnsi="Times New Roman" w:cs="Times New Roman"/>
                <w:color w:val="auto"/>
                <w:sz w:val="24"/>
                <w:szCs w:val="24"/>
              </w:rPr>
            </w:pPr>
          </w:p>
        </w:tc>
        <w:tc>
          <w:tcPr>
            <w:tcW w:w="2409" w:type="dxa"/>
            <w:vAlign w:val="top"/>
          </w:tcPr>
          <w:p>
            <w:pPr>
              <w:rPr>
                <w:rFonts w:hint="default"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40" w:type="dxa"/>
            <w:vAlign w:val="top"/>
          </w:tcPr>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w:t>
            </w:r>
          </w:p>
        </w:tc>
        <w:tc>
          <w:tcPr>
            <w:tcW w:w="2088" w:type="dxa"/>
            <w:vAlign w:val="top"/>
          </w:tcPr>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p>
        </w:tc>
        <w:tc>
          <w:tcPr>
            <w:tcW w:w="2127" w:type="dxa"/>
            <w:vAlign w:val="top"/>
          </w:tcPr>
          <w:p>
            <w:pPr>
              <w:rPr>
                <w:rFonts w:hint="default" w:ascii="Times New Roman" w:hAnsi="Times New Roman" w:cs="Times New Roman"/>
                <w:color w:val="auto"/>
                <w:sz w:val="24"/>
                <w:szCs w:val="24"/>
              </w:rPr>
            </w:pPr>
          </w:p>
        </w:tc>
        <w:tc>
          <w:tcPr>
            <w:tcW w:w="2268" w:type="dxa"/>
            <w:vAlign w:val="top"/>
          </w:tcPr>
          <w:p>
            <w:pPr>
              <w:rPr>
                <w:rFonts w:hint="default" w:ascii="Times New Roman" w:hAnsi="Times New Roman" w:cs="Times New Roman"/>
                <w:color w:val="auto"/>
                <w:sz w:val="24"/>
                <w:szCs w:val="24"/>
              </w:rPr>
            </w:pPr>
          </w:p>
        </w:tc>
        <w:tc>
          <w:tcPr>
            <w:tcW w:w="2409" w:type="dxa"/>
            <w:vAlign w:val="top"/>
          </w:tcPr>
          <w:p>
            <w:pPr>
              <w:rPr>
                <w:rFonts w:hint="default"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40" w:type="dxa"/>
            <w:vAlign w:val="top"/>
          </w:tcPr>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w:t>
            </w:r>
          </w:p>
        </w:tc>
        <w:tc>
          <w:tcPr>
            <w:tcW w:w="2088" w:type="dxa"/>
            <w:vAlign w:val="top"/>
          </w:tcPr>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p>
        </w:tc>
        <w:tc>
          <w:tcPr>
            <w:tcW w:w="2127" w:type="dxa"/>
            <w:vAlign w:val="top"/>
          </w:tcPr>
          <w:p>
            <w:pPr>
              <w:rPr>
                <w:rFonts w:hint="default" w:ascii="Times New Roman" w:hAnsi="Times New Roman" w:cs="Times New Roman"/>
                <w:color w:val="auto"/>
                <w:sz w:val="24"/>
                <w:szCs w:val="24"/>
              </w:rPr>
            </w:pPr>
          </w:p>
        </w:tc>
        <w:tc>
          <w:tcPr>
            <w:tcW w:w="2268" w:type="dxa"/>
            <w:vAlign w:val="top"/>
          </w:tcPr>
          <w:p>
            <w:pPr>
              <w:rPr>
                <w:rFonts w:hint="default" w:ascii="Times New Roman" w:hAnsi="Times New Roman" w:cs="Times New Roman"/>
                <w:color w:val="auto"/>
                <w:sz w:val="24"/>
                <w:szCs w:val="24"/>
              </w:rPr>
            </w:pPr>
          </w:p>
        </w:tc>
        <w:tc>
          <w:tcPr>
            <w:tcW w:w="2409" w:type="dxa"/>
            <w:vAlign w:val="top"/>
          </w:tcPr>
          <w:p>
            <w:pPr>
              <w:rPr>
                <w:rFonts w:hint="default" w:ascii="Times New Roman" w:hAnsi="Times New Roman" w:cs="Times New Roman"/>
                <w:color w:val="auto"/>
                <w:sz w:val="24"/>
                <w:szCs w:val="24"/>
              </w:rPr>
            </w:pPr>
          </w:p>
        </w:tc>
      </w:tr>
    </w:tbl>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Pretendenta pilnvarotās personas paraksts:  ............................................................................</w:t>
      </w:r>
    </w:p>
    <w:p>
      <w:pPr>
        <w:autoSpaceDE w:val="0"/>
        <w:jc w:val="both"/>
        <w:rPr>
          <w:rFonts w:hint="default" w:ascii="Times New Roman" w:hAnsi="Times New Roman" w:cs="Times New Roman"/>
          <w:bCs/>
          <w:color w:val="FF0000"/>
          <w:sz w:val="24"/>
          <w:szCs w:val="24"/>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hint="default" w:eastAsia="Times New Roman" w:cs="Times New Roman"/>
          <w:bCs/>
          <w:iCs/>
          <w:color w:val="auto"/>
          <w:sz w:val="22"/>
          <w:lang w:eastAsia="ar-SA"/>
        </w:rPr>
      </w:pPr>
      <w:r>
        <w:rPr>
          <w:rFonts w:eastAsia="Times New Roman" w:cs="Times New Roman"/>
          <w:bCs/>
          <w:iCs/>
          <w:color w:val="auto"/>
          <w:sz w:val="22"/>
          <w:lang w:eastAsia="ar-SA"/>
        </w:rPr>
        <w:t>Nolikuma pielikums Nr.</w:t>
      </w:r>
      <w:r>
        <w:rPr>
          <w:rFonts w:hint="default" w:eastAsia="Times New Roman" w:cs="Times New Roman"/>
          <w:bCs/>
          <w:iCs/>
          <w:color w:val="auto"/>
          <w:sz w:val="22"/>
          <w:lang w:eastAsia="ar-SA"/>
        </w:rPr>
        <w:t>5</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 xml:space="preserve">SIA “DOBELES NAMSAIMNIEKS” izsludinātajā iepirkumā </w:t>
      </w:r>
    </w:p>
    <w:p>
      <w:pPr>
        <w:suppressAutoHyphens/>
        <w:spacing w:after="0" w:line="240" w:lineRule="auto"/>
        <w:jc w:val="right"/>
        <w:rPr>
          <w:rFonts w:eastAsia="Times New Roman" w:cs="Times New Roman"/>
          <w:bCs/>
          <w:iCs/>
          <w:color w:val="auto"/>
          <w:sz w:val="22"/>
          <w:lang w:eastAsia="ar-SA"/>
        </w:rPr>
      </w:pPr>
      <w:r>
        <w:rPr>
          <w:rFonts w:eastAsia="Times New Roman" w:cs="Times New Roman"/>
          <w:iCs/>
          <w:color w:val="auto"/>
          <w:sz w:val="22"/>
          <w:lang w:eastAsia="ar-SA"/>
        </w:rPr>
        <w:t>ID Nr. SIA DN 20</w:t>
      </w:r>
      <w:r>
        <w:rPr>
          <w:rFonts w:hint="default" w:eastAsia="Times New Roman" w:cs="Times New Roman"/>
          <w:iCs/>
          <w:color w:val="auto"/>
          <w:sz w:val="22"/>
          <w:lang w:eastAsia="ar-SA"/>
        </w:rPr>
        <w:t>20/12</w:t>
      </w:r>
    </w:p>
    <w:p>
      <w:pPr>
        <w:spacing w:before="120" w:after="120"/>
        <w:jc w:val="center"/>
        <w:rPr>
          <w:b/>
        </w:rPr>
      </w:pPr>
      <w:r>
        <w:rPr>
          <w:b/>
        </w:rPr>
        <w:t>TEHNISKĀ SPECIFIKĀCIJA</w:t>
      </w:r>
    </w:p>
    <w:p>
      <w:pPr>
        <w:spacing w:before="120" w:after="120"/>
        <w:jc w:val="center"/>
        <w:rPr>
          <w:rFonts w:eastAsia="Calibri" w:cs="Calibri"/>
          <w:b/>
        </w:rPr>
      </w:pPr>
      <w:r>
        <w:rPr>
          <w:rFonts w:eastAsia="Calibri" w:cs="Calibri"/>
          <w:b/>
          <w:i/>
        </w:rPr>
        <w:t>“</w:t>
      </w:r>
      <w:r>
        <w:rPr>
          <w:b/>
          <w:bCs/>
        </w:rPr>
        <w:t>Elektroapgādes sistēmu mērījumi SIA “DOBELES NAMSAIMNIEKS” apsaimniekojamos objektos</w:t>
      </w:r>
      <w:r>
        <w:rPr>
          <w:b/>
        </w:rPr>
        <w:t>”</w:t>
      </w:r>
    </w:p>
    <w:p>
      <w:pPr>
        <w:jc w:val="center"/>
      </w:pPr>
    </w:p>
    <w:p>
      <w:pPr>
        <w:tabs>
          <w:tab w:val="left" w:pos="993"/>
        </w:tabs>
        <w:autoSpaceDE w:val="0"/>
        <w:autoSpaceDN w:val="0"/>
        <w:adjustRightInd w:val="0"/>
        <w:rPr>
          <w:b/>
          <w:bCs/>
        </w:rPr>
      </w:pPr>
      <w:r>
        <w:rPr>
          <w:b/>
          <w:bCs/>
        </w:rPr>
        <w:t>Veicamie darbi:</w:t>
      </w:r>
    </w:p>
    <w:p>
      <w:pPr>
        <w:tabs>
          <w:tab w:val="left" w:pos="600"/>
          <w:tab w:val="left" w:pos="720"/>
          <w:tab w:val="left" w:pos="993"/>
        </w:tabs>
        <w:suppressAutoHyphens/>
        <w:jc w:val="both"/>
      </w:pPr>
      <w:r>
        <w:rPr>
          <w:bCs/>
        </w:rPr>
        <w:t>Elektroapgādes sistēmu mērījumi SIA “DOBELES NAMSAIMNIEKS” apsaimniekojamos objektos</w:t>
      </w:r>
      <w:r>
        <w:t xml:space="preserve"> jāveic saskaņā ar tehnisko specifikāciju un tehnisko piedāvājumu (1.1.pielikums), Nolikuma nosacījumiem.</w:t>
      </w:r>
    </w:p>
    <w:p>
      <w:pPr>
        <w:tabs>
          <w:tab w:val="left" w:pos="993"/>
        </w:tabs>
        <w:autoSpaceDE w:val="0"/>
        <w:autoSpaceDN w:val="0"/>
        <w:adjustRightInd w:val="0"/>
        <w:rPr>
          <w:b/>
          <w:bCs/>
        </w:rPr>
      </w:pPr>
      <w:r>
        <w:rPr>
          <w:b/>
          <w:bCs/>
        </w:rPr>
        <w:t>Darba uzdevums un apjomi:</w:t>
      </w:r>
    </w:p>
    <w:p>
      <w:pPr>
        <w:jc w:val="both"/>
      </w:pPr>
      <w:r>
        <w:t>Novērtēt objektos: daudzdzīvokļu dzīvojamo māju, pašvaldību dzīvojamās telpās un pienākošo elektro instalāciju, kas ir dotā dzīvokļa atbildības robežā, izbūvēto elektroapgādes sistēmu atbilstību spēkā esošajiem ekspluatācijas, elektrodrošības un ugunsdrošības normatīviem.</w:t>
      </w:r>
    </w:p>
    <w:p>
      <w:pPr>
        <w:numPr>
          <w:ilvl w:val="0"/>
          <w:numId w:val="31"/>
        </w:numPr>
        <w:ind w:left="0" w:firstLine="0"/>
        <w:jc w:val="both"/>
        <w:rPr>
          <w:b/>
        </w:rPr>
      </w:pPr>
      <w:r>
        <w:rPr>
          <w:b/>
        </w:rPr>
        <w:t>Darbu apraksts:</w:t>
      </w:r>
    </w:p>
    <w:p>
      <w:pPr>
        <w:numPr>
          <w:ilvl w:val="1"/>
          <w:numId w:val="31"/>
        </w:numPr>
        <w:ind w:left="0" w:firstLine="567"/>
        <w:jc w:val="both"/>
      </w:pPr>
      <w:r>
        <w:t>Apsekot objektos izbūvētās stacionārās elektroietaises un elektrotīklu.</w:t>
      </w:r>
    </w:p>
    <w:p>
      <w:pPr>
        <w:numPr>
          <w:ilvl w:val="1"/>
          <w:numId w:val="31"/>
        </w:numPr>
        <w:ind w:left="0" w:firstLine="567"/>
        <w:jc w:val="both"/>
      </w:pPr>
      <w:r>
        <w:t>Veikt esošo elektrisko slēgumu principiālo shēmu.</w:t>
      </w:r>
    </w:p>
    <w:p>
      <w:pPr>
        <w:numPr>
          <w:ilvl w:val="1"/>
          <w:numId w:val="31"/>
        </w:numPr>
        <w:ind w:left="0" w:firstLine="567"/>
        <w:jc w:val="both"/>
      </w:pPr>
      <w:r>
        <w:t>Veikt elektriskos mērījumus saskaņā ar Latvijas Republikas Ministru kabineta 2016.gada 19.aprīļa noteikumiem Nr.238 „Ugunsdrošības noteikumi” 56.punktu un saskaņā ar šo noteikumu 57.punktu iesniegt pārbaudes aktus, kuros norāda:</w:t>
      </w:r>
    </w:p>
    <w:p>
      <w:pPr>
        <w:ind w:firstLine="986" w:firstLineChars="0"/>
        <w:jc w:val="both"/>
      </w:pPr>
      <w:r>
        <w:t>a) veiktos darbus;</w:t>
      </w:r>
    </w:p>
    <w:p>
      <w:pPr>
        <w:ind w:firstLine="986" w:firstLineChars="0"/>
        <w:jc w:val="both"/>
      </w:pPr>
      <w:r>
        <w:t>b) mērījumu rezultātus;</w:t>
      </w:r>
    </w:p>
    <w:p>
      <w:pPr>
        <w:ind w:firstLine="986" w:firstLineChars="0"/>
        <w:jc w:val="both"/>
      </w:pPr>
      <w:r>
        <w:t>c) slēdzienu par turpmāko ekspluatāciju.</w:t>
      </w:r>
    </w:p>
    <w:p>
      <w:pPr>
        <w:numPr>
          <w:ilvl w:val="1"/>
          <w:numId w:val="31"/>
        </w:numPr>
        <w:ind w:left="0" w:firstLine="567"/>
        <w:jc w:val="both"/>
      </w:pPr>
      <w:r>
        <w:t xml:space="preserve">Apsekot elektroapgādes līnijas un pārbaudīt to atbilstību Latvijas Republikas Ministru kabineta 2016.gada 19.aprīļa noteikumiem Nr.238 „Ugunsdrošības noteikumi” 58.punkta noteiktajām prasībām, sagatavot un iesniegt atskaiti par konstatēto, identificēt neatbilstības un sniegt rekomendācijas par turpmāko elektroinstalācijas ekspluatāciju. </w:t>
      </w:r>
      <w:r>
        <w:rPr>
          <w:color w:val="000000"/>
        </w:rPr>
        <w:t>Mērījumus jāveic ievērojot LEK 38 – “</w:t>
      </w:r>
      <w:r>
        <w:t xml:space="preserve">Elektroietaišu termogrāfisko pārbaužu normas un apjomi” mērījumu metodoloģiju. Mērījumu laikā jāpielieto iekārtu, kas var nodrošināt pietiekoši labu termo attālas kvalitāti ar termodetektora izšķirtspēju ne mazāku par 120x90 pikseļiem. </w:t>
      </w:r>
    </w:p>
    <w:p>
      <w:pPr>
        <w:numPr>
          <w:ilvl w:val="1"/>
          <w:numId w:val="31"/>
        </w:numPr>
        <w:ind w:left="0" w:firstLine="567"/>
        <w:jc w:val="both"/>
      </w:pPr>
      <w:r>
        <w:t>Veikt elektriskās pretestības mērījumus cilpai „fāze – nulle” un iesniegt protokolus, kuros norāda:</w:t>
      </w:r>
    </w:p>
    <w:p>
      <w:pPr>
        <w:ind w:firstLine="986" w:firstLineChars="0"/>
        <w:jc w:val="both"/>
      </w:pPr>
      <w:r>
        <w:t>a) veiktos darbus;</w:t>
      </w:r>
    </w:p>
    <w:p>
      <w:pPr>
        <w:ind w:firstLine="986" w:firstLineChars="0"/>
        <w:jc w:val="both"/>
      </w:pPr>
      <w:r>
        <w:t>b) mērījumu rezultātus;</w:t>
      </w:r>
    </w:p>
    <w:p>
      <w:pPr>
        <w:ind w:firstLine="986" w:firstLineChars="0"/>
        <w:jc w:val="both"/>
      </w:pPr>
      <w:r>
        <w:t>c) slēdzienu par turpmāko ekspluatāciju.</w:t>
      </w:r>
    </w:p>
    <w:p>
      <w:pPr>
        <w:numPr>
          <w:ilvl w:val="1"/>
          <w:numId w:val="31"/>
        </w:numPr>
        <w:ind w:left="0" w:firstLine="567"/>
        <w:jc w:val="both"/>
      </w:pPr>
      <w:r>
        <w:t>Veikt zemējumietaises zemējumvadu nepārtrauktības, zemējumietaises pretestību mērījumus un iesniegt protokolus, kuros norāda:</w:t>
      </w:r>
    </w:p>
    <w:p>
      <w:pPr>
        <w:ind w:firstLine="986" w:firstLineChars="0"/>
        <w:jc w:val="both"/>
      </w:pPr>
      <w:r>
        <w:t>a) veiktos darbus;</w:t>
      </w:r>
    </w:p>
    <w:p>
      <w:pPr>
        <w:ind w:firstLine="986" w:firstLineChars="0"/>
        <w:jc w:val="both"/>
      </w:pPr>
      <w:r>
        <w:t>b) mērījumu rezultātus;</w:t>
      </w:r>
    </w:p>
    <w:p>
      <w:pPr>
        <w:ind w:firstLine="986" w:firstLineChars="0"/>
        <w:jc w:val="both"/>
      </w:pPr>
      <w:r>
        <w:t>c) slēdzienu par turpmāko ekspluatāciju.</w:t>
      </w:r>
    </w:p>
    <w:p>
      <w:pPr>
        <w:numPr>
          <w:ilvl w:val="0"/>
          <w:numId w:val="31"/>
        </w:numPr>
        <w:ind w:left="0" w:firstLine="0"/>
        <w:jc w:val="both"/>
        <w:rPr>
          <w:b/>
        </w:rPr>
      </w:pPr>
      <w:r>
        <w:rPr>
          <w:b/>
        </w:rPr>
        <w:t>Kvalifikācijas prasības un iesniedzamie dokumenti:</w:t>
      </w:r>
    </w:p>
    <w:p>
      <w:pPr>
        <w:numPr>
          <w:ilvl w:val="1"/>
          <w:numId w:val="31"/>
        </w:numPr>
        <w:ind w:left="0" w:leftChars="0" w:firstLine="480" w:firstLineChars="0"/>
        <w:jc w:val="both"/>
      </w:pPr>
      <w:r>
        <w:t>Pretendents ir reģistrēts atbilstoši attiecīgās valsts normatīvo aktu prasībām.</w:t>
      </w:r>
    </w:p>
    <w:p>
      <w:pPr>
        <w:numPr>
          <w:ilvl w:val="1"/>
          <w:numId w:val="31"/>
        </w:numPr>
        <w:ind w:left="0" w:leftChars="0" w:firstLine="480" w:firstLineChars="0"/>
        <w:jc w:val="both"/>
      </w:pPr>
      <w:r>
        <w:t>Elektrotehnisko mērījumu darbos iesaistītajiem darbiniekiem ir jābūt derīgiem sertifikātiem un elektrodrošības apliecībām ar kvalifikācijas grupu vismaz B.</w:t>
      </w:r>
    </w:p>
    <w:p>
      <w:pPr>
        <w:numPr>
          <w:ilvl w:val="1"/>
          <w:numId w:val="31"/>
        </w:numPr>
        <w:ind w:left="0" w:leftChars="0" w:firstLine="480" w:firstLineChars="0"/>
        <w:jc w:val="both"/>
      </w:pPr>
      <w:r>
        <w:t>Pretendentam veicot mērījumus jāpielieto iekārtas, kurām ir derīgi  kalibrēšanas sertifikāti.</w:t>
      </w:r>
    </w:p>
    <w:p>
      <w:pPr>
        <w:numPr>
          <w:ilvl w:val="0"/>
          <w:numId w:val="31"/>
        </w:numPr>
        <w:ind w:left="0" w:leftChars="0" w:firstLine="0" w:firstLineChars="0"/>
        <w:jc w:val="both"/>
        <w:rPr>
          <w:b/>
        </w:rPr>
      </w:pPr>
      <w:r>
        <w:rPr>
          <w:b/>
        </w:rPr>
        <w:t>Darbu veikšana, saskaņošana un organizēšana</w:t>
      </w:r>
    </w:p>
    <w:p>
      <w:pPr>
        <w:numPr>
          <w:ilvl w:val="1"/>
          <w:numId w:val="31"/>
        </w:numPr>
        <w:ind w:left="0" w:leftChars="0" w:firstLine="480" w:firstLineChars="0"/>
        <w:jc w:val="both"/>
      </w:pPr>
      <w:r>
        <w:t>Pēc līguma noslēgšanas par konkrētā objektā veicamiem darbiem, Pretendentam ir jāiesniedz visa Pasūtītāja pieprasītā informācija par darbos iesaistītām personām.</w:t>
      </w:r>
    </w:p>
    <w:p>
      <w:pPr>
        <w:numPr>
          <w:ilvl w:val="1"/>
          <w:numId w:val="31"/>
        </w:numPr>
        <w:ind w:left="0" w:leftChars="0" w:firstLine="480" w:firstLineChars="0"/>
        <w:jc w:val="both"/>
      </w:pPr>
      <w:r>
        <w:t>Veicamo darbu grafiki jāsaskaņo ar objekta pārvaldnieku un personīgi ar telpu nomniekiem:</w:t>
      </w:r>
    </w:p>
    <w:p>
      <w:pPr>
        <w:pStyle w:val="8"/>
        <w:numPr>
          <w:ilvl w:val="0"/>
          <w:numId w:val="32"/>
        </w:numPr>
        <w:ind w:left="1620"/>
        <w:jc w:val="both"/>
      </w:pPr>
      <w:r>
        <w:rPr>
          <w:u w:val="single"/>
        </w:rPr>
        <w:t>Par darbu uzsākšanu dzīvojamās telpās, personīgi brīdināt dzīvokļu īrniekus 7 dienas iepriekš. Ja nav iespējams iekļūt dzīvojamās telpās, tad par to sastāda aktu un ziņo Pasūtītājam</w:t>
      </w:r>
      <w:r>
        <w:t>.</w:t>
      </w:r>
    </w:p>
    <w:p>
      <w:pPr>
        <w:numPr>
          <w:ilvl w:val="1"/>
          <w:numId w:val="31"/>
        </w:numPr>
        <w:ind w:left="0" w:leftChars="0" w:firstLine="480" w:firstLineChars="0"/>
        <w:jc w:val="both"/>
      </w:pPr>
      <w:r>
        <w:t>Atsevišķos gadījumos darbi veicami vakaros pēc plkst. 20.00 un brīvdienās.</w:t>
      </w:r>
    </w:p>
    <w:p>
      <w:pPr>
        <w:numPr>
          <w:ilvl w:val="1"/>
          <w:numId w:val="31"/>
        </w:numPr>
        <w:ind w:left="0" w:leftChars="0" w:firstLine="480" w:firstLineChars="0"/>
        <w:jc w:val="both"/>
      </w:pPr>
      <w:r>
        <w:t>Pretendenta rīcībā ir jābūt resursiem, lai saviem spēkiem sagatavotu līnijas mērījumiem ieskaitot mēbeļu pārvietošanu, iekārtu (biroja tehnika, gaismas ķermeņi u.c.) atslēgumus un pēc mērījumu veikšanas atgrieztu visu iepriekšējā stāvoklī.</w:t>
      </w:r>
    </w:p>
    <w:p>
      <w:pPr>
        <w:numPr>
          <w:ilvl w:val="1"/>
          <w:numId w:val="31"/>
        </w:numPr>
        <w:ind w:left="0" w:leftChars="0" w:firstLine="480" w:firstLineChars="0"/>
        <w:jc w:val="both"/>
      </w:pPr>
      <w:r>
        <w:t>Darbu izpildes laikā, Pretendents ir atbildīgs par Pasūtītāja iekšējās kārtības noteikumu, darba drošības un ugunsdrošības prasību ievērošanu.</w:t>
      </w:r>
    </w:p>
    <w:p>
      <w:pPr>
        <w:numPr>
          <w:ilvl w:val="0"/>
          <w:numId w:val="31"/>
        </w:numPr>
        <w:ind w:left="0" w:leftChars="0" w:firstLine="0" w:firstLineChars="0"/>
        <w:jc w:val="both"/>
        <w:rPr>
          <w:b/>
        </w:rPr>
      </w:pPr>
      <w:r>
        <w:rPr>
          <w:b/>
        </w:rPr>
        <w:t>Veicamo darbu apjoms.</w:t>
      </w:r>
    </w:p>
    <w:p>
      <w:pPr>
        <w:pStyle w:val="8"/>
        <w:numPr>
          <w:ilvl w:val="1"/>
          <w:numId w:val="31"/>
        </w:numPr>
        <w:ind w:left="780" w:leftChars="0" w:hanging="300" w:firstLineChars="0"/>
        <w:jc w:val="both"/>
      </w:pPr>
      <w:r>
        <w:t xml:space="preserve">Elektroietaišu apsekošanas robežas noteiktas no objektu elektroapgādes tehniskajos datos, robežaktā norādītajam pieslēguma vietām līdz stacionārajiem elektroenerģijas patērētājiem. Veicamo darbu apjomu noteikšanai par pamatkritēriju tiek  izmantota apsekojamās ēkas platība. </w:t>
      </w:r>
    </w:p>
    <w:p>
      <w:pPr>
        <w:numPr>
          <w:ilvl w:val="0"/>
          <w:numId w:val="31"/>
        </w:numPr>
        <w:ind w:left="0" w:leftChars="0" w:firstLine="0" w:firstLineChars="0"/>
        <w:jc w:val="both"/>
        <w:rPr>
          <w:b/>
        </w:rPr>
      </w:pPr>
      <w:r>
        <w:rPr>
          <w:b/>
        </w:rPr>
        <w:t>Prasības aprīkojumam.</w:t>
      </w:r>
    </w:p>
    <w:p>
      <w:pPr>
        <w:numPr>
          <w:ilvl w:val="1"/>
          <w:numId w:val="31"/>
        </w:numPr>
        <w:ind w:left="0" w:leftChars="0" w:firstLine="480" w:firstLineChars="0"/>
        <w:jc w:val="both"/>
      </w:pPr>
      <w:r>
        <w:t>Visām Pretendenta izmantotajām mērierīcēm ir jābūt verificētām ar derīgiem kalibrēšanas sertifikātiem.</w:t>
      </w:r>
    </w:p>
    <w:p>
      <w:pPr>
        <w:numPr>
          <w:ilvl w:val="1"/>
          <w:numId w:val="31"/>
        </w:numPr>
        <w:ind w:left="0" w:leftChars="0" w:firstLine="480" w:firstLineChars="0"/>
        <w:jc w:val="both"/>
      </w:pPr>
      <w:r>
        <w:t>Pretendents pats ir atbildīgs par precīzu darbu tehnoloģijas izvēli, darba rīku un mērlīdzekļu pielietošanu, kā arī par izpildāmo darbu apjomu novērtēšanu uzdevuma veikšanai. Pretendentam pašam jāizvērtē darbu veikšanai nepieciešamie darbaspēka resursi.</w:t>
      </w:r>
    </w:p>
    <w:p>
      <w:pPr>
        <w:numPr>
          <w:ilvl w:val="1"/>
          <w:numId w:val="31"/>
        </w:numPr>
        <w:ind w:left="0" w:leftChars="0" w:firstLine="480" w:firstLineChars="0"/>
        <w:jc w:val="both"/>
      </w:pPr>
      <w:r>
        <w:t>Pretendents veic darbus ar savu kvalificētu darbaspēku, tehniku, darbarīkiem un materiāliem.</w:t>
      </w:r>
    </w:p>
    <w:p>
      <w:pPr>
        <w:numPr>
          <w:ilvl w:val="1"/>
          <w:numId w:val="31"/>
        </w:numPr>
        <w:ind w:left="0" w:leftChars="0" w:firstLine="480" w:firstLineChars="0"/>
        <w:jc w:val="both"/>
      </w:pPr>
      <w:r>
        <w:t>Uzņēmumam jābūt sertificētam atbilstoši ISO vadības standartiem un ievestas Kvalitātes vadības sistēma ISO 9001 vai alternatīvas sistēmas attiecīga darbinās veida – elektroietaišu projektēšana, elektrisko mērījumu veikšana.</w:t>
      </w:r>
    </w:p>
    <w:p>
      <w:pPr>
        <w:numPr>
          <w:ilvl w:val="0"/>
          <w:numId w:val="31"/>
        </w:numPr>
        <w:ind w:left="0" w:leftChars="0" w:firstLine="0" w:firstLineChars="0"/>
        <w:jc w:val="both"/>
        <w:rPr>
          <w:b/>
        </w:rPr>
      </w:pPr>
      <w:r>
        <w:rPr>
          <w:b/>
        </w:rPr>
        <w:t>Darbu pārbaudes un pieņemšanas noteikumi.</w:t>
      </w:r>
    </w:p>
    <w:p>
      <w:pPr>
        <w:numPr>
          <w:ilvl w:val="1"/>
          <w:numId w:val="31"/>
        </w:numPr>
        <w:ind w:left="0" w:leftChars="0" w:firstLine="480" w:firstLineChars="0"/>
        <w:jc w:val="both"/>
      </w:pPr>
      <w:r>
        <w:t>Izpilddokumentāciju un elektrotehnisko mērījumu protokolus jāizstrādā divos eksemplāros drukātā veidā un vienu elektroniski.</w:t>
      </w:r>
    </w:p>
    <w:p>
      <w:pPr>
        <w:pStyle w:val="8"/>
        <w:numPr>
          <w:ilvl w:val="1"/>
          <w:numId w:val="31"/>
        </w:numPr>
        <w:ind w:left="780" w:leftChars="0" w:hanging="300" w:firstLineChars="0"/>
        <w:jc w:val="both"/>
      </w:pPr>
      <w:r>
        <w:t xml:space="preserve"> Iesniedzamās izpilddokumentācijas sastāvs:</w:t>
      </w:r>
    </w:p>
    <w:p>
      <w:pPr>
        <w:pStyle w:val="8"/>
        <w:numPr>
          <w:ilvl w:val="0"/>
          <w:numId w:val="33"/>
        </w:numPr>
        <w:ind w:left="720" w:leftChars="0" w:firstLine="240" w:firstLineChars="0"/>
        <w:jc w:val="both"/>
      </w:pPr>
      <w:r>
        <w:t>Lokālo sadalņu vienlīniju shēmas (tās, kas lokālajās sadalnēs).</w:t>
      </w:r>
    </w:p>
    <w:p>
      <w:pPr>
        <w:pStyle w:val="8"/>
        <w:numPr>
          <w:ilvl w:val="0"/>
          <w:numId w:val="33"/>
        </w:numPr>
        <w:ind w:left="720" w:leftChars="0" w:firstLine="240" w:firstLineChars="0"/>
        <w:jc w:val="both"/>
      </w:pPr>
      <w:r>
        <w:t>Vadu un kabeļu izolācijas pretestības mērījumu protokoli ar atzinumu par turpmāko ekspluatāciju.</w:t>
      </w:r>
    </w:p>
    <w:p>
      <w:pPr>
        <w:pStyle w:val="8"/>
        <w:numPr>
          <w:ilvl w:val="0"/>
          <w:numId w:val="33"/>
        </w:numPr>
        <w:ind w:left="720" w:leftChars="0" w:firstLine="240" w:firstLineChars="0"/>
        <w:jc w:val="both"/>
      </w:pPr>
      <w:r>
        <w:t>Zemējumietaises (zemējumkontūra, ja ir atteicams) pretestības mērījums ar atzinumu par turpmāko ekspluatāciju.</w:t>
      </w:r>
    </w:p>
    <w:p>
      <w:pPr>
        <w:pStyle w:val="8"/>
        <w:numPr>
          <w:ilvl w:val="0"/>
          <w:numId w:val="33"/>
        </w:numPr>
        <w:ind w:left="720" w:leftChars="0" w:firstLine="240" w:firstLineChars="0"/>
        <w:jc w:val="both"/>
      </w:pPr>
      <w:r>
        <w:t>Pilnas elektriskās pretestības mērījumi cilpai „fāze - nulle” ar atzinumu par turpmāko ekspluatāciju.</w:t>
      </w:r>
    </w:p>
    <w:p>
      <w:pPr>
        <w:pStyle w:val="8"/>
        <w:numPr>
          <w:ilvl w:val="0"/>
          <w:numId w:val="33"/>
        </w:numPr>
        <w:ind w:left="720" w:leftChars="0" w:firstLine="240" w:firstLineChars="0"/>
        <w:jc w:val="both"/>
      </w:pPr>
      <w:r>
        <w:t>Elektroinstalācijas kontaktu savienojumu kvalitātes pārbaude ar atzinumu par turpmāko ekspluatāciju.</w:t>
      </w:r>
    </w:p>
    <w:p>
      <w:pPr>
        <w:numPr>
          <w:ilvl w:val="1"/>
          <w:numId w:val="31"/>
        </w:numPr>
        <w:ind w:left="0" w:leftChars="0" w:firstLine="480" w:firstLineChars="0"/>
        <w:jc w:val="both"/>
      </w:pPr>
      <w:r>
        <w:t>Pēc darbu veikšanas darbu pieņemšana noformējama ar Pretendenta un Pasūtītāja parakstītu darbu izpildes aktu (forma Nr. 2) un darbu pieņemšanas – nodošanas aktu.</w:t>
      </w:r>
    </w:p>
    <w:p>
      <w:pPr>
        <w:numPr>
          <w:ilvl w:val="0"/>
          <w:numId w:val="31"/>
        </w:numPr>
        <w:ind w:left="0" w:firstLine="0"/>
        <w:jc w:val="both"/>
        <w:rPr>
          <w:rFonts w:hAnsi="SimSun"/>
        </w:rPr>
      </w:pPr>
      <w:r>
        <w:rPr>
          <w:b/>
        </w:rPr>
        <w:t>Īpašās prasības</w:t>
      </w:r>
    </w:p>
    <w:p>
      <w:pPr>
        <w:numPr>
          <w:ilvl w:val="1"/>
          <w:numId w:val="31"/>
        </w:numPr>
        <w:ind w:left="0" w:firstLine="426"/>
        <w:jc w:val="both"/>
      </w:pPr>
      <w:r>
        <w:t>Finanšu piedāvājums (tāme) iesniedzams atbilstoši Noteikumi par Latvijas būvnormatīvu LBN 501-06 “Būvizmaksu noteikšanas kārtība” 5. pielikums. Piedāvājuma jāiekļauj visas ar pakalpojumu saistītās izmaksas (darbs (ieskaitot mēbeļu pārvietošanu), mērlīdzekļi, mehānismi, transports visā Latvijas teritorijā, kā arī visas nodevas un nodokļi). Finanšu piedāvājumā norādītās izmaksas nevar palielināt visā līguma darbības laikā.1.1.</w:t>
      </w:r>
    </w:p>
    <w:p>
      <w:pPr>
        <w:numPr>
          <w:ilvl w:val="1"/>
          <w:numId w:val="31"/>
        </w:numPr>
        <w:ind w:left="0" w:firstLine="426"/>
        <w:jc w:val="both"/>
      </w:pPr>
      <w:r>
        <w:t>Elektriskajām vienlīniju shēmām jābūt sastādītām ar sertificēta elektroietaišu projektētāja palīdzību. Pretendentam jābūt licencētai CAD programmatūrai, lai sastādītu elektriskās shēmas .dwg formātā. Dokumentus jāiesniedz .dwg, .pdf un .doc formātos, kā arī jābūt izdrukātiem dokumentu un shēmu eksemplāriem.</w:t>
      </w:r>
    </w:p>
    <w:p>
      <w:pPr>
        <w:numPr>
          <w:ilvl w:val="1"/>
          <w:numId w:val="31"/>
        </w:numPr>
        <w:ind w:left="0" w:firstLine="426"/>
        <w:jc w:val="both"/>
      </w:pPr>
      <w:r>
        <w:t>Pretendents pats ir atbildīgs par spēkā esošo darbu drošības, ugunsdrošības noteikumu un uzņēmuma iekšējās kārtības noteikumu  ievērošanu objektā.</w:t>
      </w:r>
    </w:p>
    <w:p>
      <w:pPr>
        <w:numPr>
          <w:ilvl w:val="1"/>
          <w:numId w:val="31"/>
        </w:numPr>
        <w:ind w:left="0" w:firstLine="426"/>
        <w:jc w:val="both"/>
      </w:pPr>
      <w:r>
        <w:t>Apsekošanas rezultātā objektam nodarītie bojājumi (izņemot gadījumu, kad mērījuma procesā ar paaugstināto spriegumu tiek sabojāta vadītāja izolācija) vai arī citi zaudējumi, kas radušies Pretendenta darbības vai bezdarbības rezultātā, Pretendentam jānovērš par saviem līdzekļiem.</w:t>
      </w:r>
    </w:p>
    <w:p>
      <w:pPr>
        <w:numPr>
          <w:ilvl w:val="1"/>
          <w:numId w:val="31"/>
        </w:numPr>
        <w:ind w:left="0" w:firstLine="426"/>
        <w:jc w:val="both"/>
      </w:pPr>
      <w:r>
        <w:t>Nepieciešamības gadījumā Pasūtītājam ir tiesības samazināt vai papildināt objektu sarakstu.</w:t>
      </w:r>
    </w:p>
    <w:p>
      <w:pPr>
        <w:numPr>
          <w:numId w:val="0"/>
        </w:numPr>
        <w:spacing w:after="160" w:line="259" w:lineRule="auto"/>
        <w:jc w:val="both"/>
      </w:pPr>
    </w:p>
    <w:p>
      <w:pPr>
        <w:numPr>
          <w:numId w:val="0"/>
        </w:numPr>
        <w:spacing w:after="160" w:line="259" w:lineRule="auto"/>
        <w:jc w:val="both"/>
      </w:pPr>
    </w:p>
    <w:p>
      <w:pPr>
        <w:numPr>
          <w:numId w:val="0"/>
        </w:numPr>
        <w:spacing w:after="160" w:line="259" w:lineRule="auto"/>
        <w:jc w:val="both"/>
      </w:pPr>
    </w:p>
    <w:p>
      <w:pPr>
        <w:numPr>
          <w:numId w:val="0"/>
        </w:numPr>
        <w:spacing w:after="160" w:line="259" w:lineRule="auto"/>
        <w:jc w:val="both"/>
      </w:pPr>
    </w:p>
    <w:p>
      <w:pPr>
        <w:numPr>
          <w:numId w:val="0"/>
        </w:numPr>
        <w:spacing w:after="160" w:line="259" w:lineRule="auto"/>
        <w:jc w:val="both"/>
      </w:pPr>
    </w:p>
    <w:p>
      <w:pPr>
        <w:numPr>
          <w:numId w:val="0"/>
        </w:numPr>
        <w:spacing w:after="160" w:line="259" w:lineRule="auto"/>
        <w:jc w:val="both"/>
      </w:pPr>
    </w:p>
    <w:p>
      <w:pPr>
        <w:suppressAutoHyphens/>
        <w:spacing w:before="120" w:after="0" w:line="240" w:lineRule="auto"/>
        <w:ind w:right="-573" w:rightChars="-239"/>
      </w:pPr>
      <w:r>
        <w:br w:type="page"/>
      </w:r>
    </w:p>
    <w:p>
      <w:pPr>
        <w:suppressAutoHyphens/>
        <w:spacing w:after="0" w:line="240" w:lineRule="auto"/>
        <w:jc w:val="right"/>
        <w:rPr>
          <w:rFonts w:hint="default" w:eastAsia="Times New Roman" w:cs="Times New Roman"/>
          <w:bCs/>
          <w:iCs/>
          <w:color w:val="auto"/>
          <w:sz w:val="22"/>
          <w:lang w:eastAsia="ar-SA"/>
        </w:rPr>
      </w:pPr>
      <w:r>
        <w:rPr>
          <w:rFonts w:eastAsia="Times New Roman" w:cs="Times New Roman"/>
          <w:bCs/>
          <w:iCs/>
          <w:color w:val="auto"/>
          <w:sz w:val="22"/>
          <w:lang w:eastAsia="ar-SA"/>
        </w:rPr>
        <w:t>Nolikuma pielikums Nr.</w:t>
      </w:r>
      <w:r>
        <w:rPr>
          <w:rFonts w:hint="default" w:eastAsia="Times New Roman" w:cs="Times New Roman"/>
          <w:bCs/>
          <w:iCs/>
          <w:color w:val="auto"/>
          <w:sz w:val="22"/>
          <w:lang w:eastAsia="ar-SA"/>
        </w:rPr>
        <w:t>5.1.</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 xml:space="preserve">SIA “DOBELES NAMSAIMNIEKS” izsludinātajā iepirkumā </w:t>
      </w:r>
    </w:p>
    <w:p>
      <w:pPr>
        <w:suppressAutoHyphens/>
        <w:spacing w:after="0" w:line="240" w:lineRule="auto"/>
        <w:jc w:val="right"/>
        <w:rPr>
          <w:rFonts w:eastAsia="Times New Roman" w:cs="Times New Roman"/>
          <w:bCs/>
          <w:iCs/>
          <w:color w:val="auto"/>
          <w:sz w:val="22"/>
          <w:lang w:eastAsia="ar-SA"/>
        </w:rPr>
      </w:pPr>
      <w:r>
        <w:rPr>
          <w:rFonts w:eastAsia="Times New Roman" w:cs="Times New Roman"/>
          <w:iCs/>
          <w:color w:val="auto"/>
          <w:sz w:val="22"/>
          <w:lang w:eastAsia="ar-SA"/>
        </w:rPr>
        <w:t>ID Nr. SIA DN 20</w:t>
      </w:r>
      <w:r>
        <w:rPr>
          <w:rFonts w:hint="default" w:eastAsia="Times New Roman" w:cs="Times New Roman"/>
          <w:iCs/>
          <w:color w:val="auto"/>
          <w:sz w:val="22"/>
          <w:lang w:eastAsia="ar-SA"/>
        </w:rPr>
        <w:t>20/12</w:t>
      </w:r>
    </w:p>
    <w:p>
      <w:pPr>
        <w:suppressAutoHyphens/>
        <w:spacing w:before="120" w:after="0" w:line="240" w:lineRule="auto"/>
        <w:ind w:right="-48" w:rightChars="-20"/>
        <w:jc w:val="right"/>
        <w:rPr>
          <w:rFonts w:hint="default" w:eastAsia="Times New Roman" w:cs="Times New Roman"/>
          <w:iCs/>
          <w:color w:val="auto"/>
          <w:sz w:val="22"/>
          <w:lang w:eastAsia="ar-SA"/>
        </w:rPr>
      </w:pPr>
    </w:p>
    <w:p>
      <w:pPr>
        <w:suppressAutoHyphens/>
        <w:spacing w:before="120" w:after="0" w:line="240" w:lineRule="auto"/>
        <w:ind w:right="-48" w:rightChars="-20"/>
        <w:jc w:val="right"/>
        <w:rPr>
          <w:rFonts w:hint="default" w:eastAsia="Times New Roman" w:cs="Times New Roman"/>
          <w:iCs/>
          <w:color w:val="auto"/>
          <w:sz w:val="22"/>
          <w:lang w:eastAsia="ar-SA"/>
        </w:rPr>
      </w:pPr>
    </w:p>
    <w:p>
      <w:pPr>
        <w:tabs>
          <w:tab w:val="left" w:pos="142"/>
        </w:tabs>
        <w:jc w:val="center"/>
        <w:rPr>
          <w:color w:val="auto"/>
          <w:sz w:val="28"/>
          <w:szCs w:val="28"/>
        </w:rPr>
      </w:pPr>
      <w:r>
        <w:rPr>
          <w:b/>
          <w:bCs/>
          <w:color w:val="auto"/>
          <w:sz w:val="28"/>
          <w:szCs w:val="28"/>
        </w:rPr>
        <w:t>Pārbaudāmo objektu adreses, un tehniskie raksturlielumi</w:t>
      </w:r>
      <w:r>
        <w:rPr>
          <w:rFonts w:hint="default"/>
          <w:b/>
          <w:bCs/>
          <w:color w:val="auto"/>
          <w:sz w:val="28"/>
          <w:szCs w:val="28"/>
        </w:rPr>
        <w:t>.</w:t>
      </w:r>
    </w:p>
    <w:p>
      <w:pPr>
        <w:tabs>
          <w:tab w:val="left" w:pos="142"/>
        </w:tabs>
        <w:jc w:val="both"/>
      </w:pPr>
      <w:r>
        <w:t>Pasūtītājs: SIA Dobeles Namsaimnieks</w:t>
      </w:r>
    </w:p>
    <w:p>
      <w:pPr>
        <w:tabs>
          <w:tab w:val="left" w:pos="142"/>
        </w:tabs>
        <w:jc w:val="both"/>
      </w:pPr>
    </w:p>
    <w:p>
      <w:pPr>
        <w:tabs>
          <w:tab w:val="left" w:pos="142"/>
        </w:tabs>
        <w:jc w:val="both"/>
      </w:pPr>
      <w:r>
        <w:t>Izpildītājs: ___________________</w:t>
      </w:r>
    </w:p>
    <w:p>
      <w:pPr>
        <w:tabs>
          <w:tab w:val="left" w:pos="142"/>
        </w:tabs>
        <w:jc w:val="both"/>
      </w:pPr>
    </w:p>
    <w:p>
      <w:pPr>
        <w:tabs>
          <w:tab w:val="left" w:pos="142"/>
        </w:tabs>
        <w:jc w:val="both"/>
      </w:pPr>
      <w:r>
        <w:t>Tāme sastādīta _____. gada tirgus cenās  . Tāmes izmaksas ____________ euro</w:t>
      </w:r>
    </w:p>
    <w:p>
      <w:pPr>
        <w:suppressAutoHyphens/>
        <w:spacing w:before="120" w:after="0" w:line="240" w:lineRule="auto"/>
        <w:ind w:right="-573" w:rightChars="-239"/>
        <w:rPr>
          <w:lang w:eastAsia="ar-SA"/>
        </w:rPr>
      </w:pPr>
    </w:p>
    <w:tbl>
      <w:tblPr>
        <w:tblW w:w="882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859"/>
        <w:gridCol w:w="4134"/>
        <w:gridCol w:w="38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tcBorders>
            <w:vAlign w:val="bottom"/>
          </w:tcPr>
          <w:p>
            <w:pPr>
              <w:autoSpaceDN w:val="0"/>
              <w:jc w:val="center"/>
              <w:textAlignment w:val="bottom"/>
              <w:rPr>
                <w:color w:val="000000"/>
                <w:szCs w:val="24"/>
              </w:rPr>
            </w:pPr>
            <w:r>
              <w:rPr>
                <w:color w:val="000000"/>
                <w:szCs w:val="24"/>
              </w:rPr>
              <w:t>Nr.</w:t>
            </w:r>
          </w:p>
        </w:tc>
        <w:tc>
          <w:tcPr>
            <w:tcW w:w="4134"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b/>
                <w:color w:val="000000"/>
                <w:szCs w:val="24"/>
              </w:rPr>
            </w:pPr>
            <w:r>
              <w:rPr>
                <w:b/>
                <w:color w:val="000000"/>
                <w:szCs w:val="24"/>
              </w:rPr>
              <w:t>Objekta Adrese</w:t>
            </w:r>
          </w:p>
        </w:tc>
        <w:tc>
          <w:tcPr>
            <w:tcW w:w="3834"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b/>
                <w:color w:val="000000"/>
                <w:szCs w:val="24"/>
              </w:rPr>
            </w:pPr>
            <w:r>
              <w:rPr>
                <w:b/>
                <w:color w:val="000000"/>
                <w:szCs w:val="24"/>
              </w:rPr>
              <w:t>m2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tcBorders>
            <w:vAlign w:val="bottom"/>
          </w:tcPr>
          <w:p>
            <w:pPr>
              <w:autoSpaceDN w:val="0"/>
              <w:jc w:val="center"/>
              <w:textAlignment w:val="bottom"/>
              <w:rPr>
                <w:color w:val="000000"/>
                <w:szCs w:val="24"/>
              </w:rPr>
            </w:pPr>
            <w:r>
              <w:rPr>
                <w:color w:val="000000"/>
                <w:szCs w:val="24"/>
              </w:rPr>
              <w:t>1</w:t>
            </w:r>
          </w:p>
        </w:tc>
        <w:tc>
          <w:tcPr>
            <w:tcW w:w="4134" w:type="dxa"/>
            <w:tcBorders>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Atmodas iela 1-15,Dobele</w:t>
            </w:r>
          </w:p>
        </w:tc>
        <w:tc>
          <w:tcPr>
            <w:tcW w:w="3834" w:type="dxa"/>
            <w:tcBorders>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90" w:hRule="atLeast"/>
        </w:trPr>
        <w:tc>
          <w:tcPr>
            <w:tcW w:w="859" w:type="dxa"/>
            <w:tcBorders>
              <w:top w:val="single" w:color="000000" w:sz="8" w:space="0"/>
              <w:left w:val="single" w:color="000000" w:sz="8" w:space="0"/>
              <w:bottom w:val="single" w:color="000000" w:sz="8" w:space="0"/>
            </w:tcBorders>
            <w:vAlign w:val="bottom"/>
          </w:tcPr>
          <w:p>
            <w:pPr>
              <w:autoSpaceDN w:val="0"/>
              <w:jc w:val="center"/>
              <w:textAlignment w:val="bottom"/>
              <w:rPr>
                <w:color w:val="000000"/>
                <w:szCs w:val="24"/>
              </w:rPr>
            </w:pPr>
            <w:r>
              <w:rPr>
                <w:color w:val="000000"/>
                <w:szCs w:val="24"/>
              </w:rPr>
              <w:t>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Atmodas iela 1-18,Dobele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tcBorders>
            <w:vAlign w:val="bottom"/>
          </w:tcPr>
          <w:p>
            <w:pPr>
              <w:autoSpaceDN w:val="0"/>
              <w:jc w:val="center"/>
              <w:textAlignment w:val="bottom"/>
              <w:rPr>
                <w:color w:val="000000"/>
                <w:szCs w:val="24"/>
              </w:rPr>
            </w:pPr>
            <w:r>
              <w:rPr>
                <w:color w:val="000000"/>
                <w:szCs w:val="24"/>
              </w:rPr>
              <w:t>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Atmodas iela 1-36,Dobele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tcBorders>
            <w:vAlign w:val="bottom"/>
          </w:tcPr>
          <w:p>
            <w:pPr>
              <w:autoSpaceDN w:val="0"/>
              <w:jc w:val="center"/>
              <w:textAlignment w:val="bottom"/>
              <w:rPr>
                <w:color w:val="000000"/>
                <w:szCs w:val="24"/>
              </w:rPr>
            </w:pPr>
            <w:r>
              <w:rPr>
                <w:color w:val="000000"/>
                <w:szCs w:val="24"/>
              </w:rPr>
              <w:t>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1-17,Dobele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tcBorders>
            <w:vAlign w:val="bottom"/>
          </w:tcPr>
          <w:p>
            <w:pPr>
              <w:autoSpaceDN w:val="0"/>
              <w:jc w:val="center"/>
              <w:textAlignment w:val="bottom"/>
              <w:rPr>
                <w:color w:val="000000"/>
                <w:szCs w:val="24"/>
              </w:rPr>
            </w:pPr>
            <w:r>
              <w:rPr>
                <w:color w:val="000000"/>
                <w:szCs w:val="24"/>
              </w:rPr>
              <w:t>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3-8,Dobele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87.2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tcBorders>
            <w:vAlign w:val="bottom"/>
          </w:tcPr>
          <w:p>
            <w:pPr>
              <w:autoSpaceDN w:val="0"/>
              <w:jc w:val="center"/>
              <w:textAlignment w:val="bottom"/>
              <w:rPr>
                <w:color w:val="000000"/>
                <w:szCs w:val="24"/>
              </w:rPr>
            </w:pPr>
            <w:r>
              <w:rPr>
                <w:color w:val="000000"/>
                <w:szCs w:val="24"/>
              </w:rPr>
              <w:t>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3-17,Dobele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tcBorders>
            <w:vAlign w:val="bottom"/>
          </w:tcPr>
          <w:p>
            <w:pPr>
              <w:autoSpaceDN w:val="0"/>
              <w:jc w:val="center"/>
              <w:textAlignment w:val="bottom"/>
              <w:rPr>
                <w:color w:val="000000"/>
                <w:szCs w:val="24"/>
              </w:rPr>
            </w:pPr>
            <w:r>
              <w:rPr>
                <w:color w:val="000000"/>
                <w:szCs w:val="24"/>
              </w:rPr>
              <w:t>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17-13,Dobele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tcBorders>
            <w:vAlign w:val="bottom"/>
          </w:tcPr>
          <w:p>
            <w:pPr>
              <w:autoSpaceDN w:val="0"/>
              <w:jc w:val="center"/>
              <w:textAlignment w:val="bottom"/>
              <w:rPr>
                <w:color w:val="000000"/>
                <w:szCs w:val="24"/>
              </w:rPr>
            </w:pPr>
            <w:r>
              <w:rPr>
                <w:color w:val="000000"/>
                <w:szCs w:val="24"/>
              </w:rPr>
              <w:t>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17-20,Dobele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tcBorders>
            <w:vAlign w:val="bottom"/>
          </w:tcPr>
          <w:p>
            <w:pPr>
              <w:autoSpaceDN w:val="0"/>
              <w:jc w:val="center"/>
              <w:textAlignment w:val="bottom"/>
              <w:rPr>
                <w:color w:val="000000"/>
                <w:szCs w:val="24"/>
              </w:rPr>
            </w:pPr>
            <w:r>
              <w:rPr>
                <w:color w:val="000000"/>
                <w:szCs w:val="24"/>
              </w:rPr>
              <w:t>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17-23,Dobele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tcBorders>
            <w:vAlign w:val="bottom"/>
          </w:tcPr>
          <w:p>
            <w:pPr>
              <w:autoSpaceDN w:val="0"/>
              <w:jc w:val="center"/>
              <w:textAlignment w:val="bottom"/>
              <w:rPr>
                <w:color w:val="000000"/>
                <w:szCs w:val="24"/>
              </w:rPr>
            </w:pPr>
            <w:r>
              <w:rPr>
                <w:color w:val="000000"/>
                <w:szCs w:val="24"/>
              </w:rPr>
              <w:t>10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17-29,Dobele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tcBorders>
            <w:vAlign w:val="bottom"/>
          </w:tcPr>
          <w:p>
            <w:pPr>
              <w:autoSpaceDN w:val="0"/>
              <w:jc w:val="center"/>
              <w:textAlignment w:val="bottom"/>
              <w:rPr>
                <w:color w:val="000000"/>
                <w:szCs w:val="24"/>
              </w:rPr>
            </w:pPr>
            <w:r>
              <w:rPr>
                <w:color w:val="000000"/>
                <w:szCs w:val="24"/>
              </w:rPr>
              <w:t>11</w:t>
            </w:r>
          </w:p>
        </w:tc>
        <w:tc>
          <w:tcPr>
            <w:tcW w:w="4134" w:type="dxa"/>
            <w:tcBorders>
              <w:top w:val="single" w:color="000000" w:sz="8" w:space="0"/>
              <w:left w:val="single" w:color="000000" w:sz="8" w:space="0"/>
              <w:right w:val="single" w:color="000000" w:sz="8" w:space="0"/>
            </w:tcBorders>
            <w:vAlign w:val="bottom"/>
          </w:tcPr>
          <w:p>
            <w:pPr>
              <w:autoSpaceDN w:val="0"/>
              <w:textAlignment w:val="bottom"/>
              <w:rPr>
                <w:color w:val="000000"/>
                <w:szCs w:val="24"/>
              </w:rPr>
            </w:pPr>
            <w:r>
              <w:rPr>
                <w:color w:val="000000"/>
                <w:szCs w:val="24"/>
              </w:rPr>
              <w:t>Ausmas iela 17-32,Dobele</w:t>
            </w:r>
          </w:p>
        </w:tc>
        <w:tc>
          <w:tcPr>
            <w:tcW w:w="3834" w:type="dxa"/>
            <w:tcBorders>
              <w:top w:val="single" w:color="000000" w:sz="8" w:space="0"/>
              <w:left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tcBorders>
            <w:vAlign w:val="bottom"/>
          </w:tcPr>
          <w:p>
            <w:pPr>
              <w:autoSpaceDN w:val="0"/>
              <w:jc w:val="center"/>
              <w:textAlignment w:val="bottom"/>
              <w:rPr>
                <w:color w:val="000000"/>
                <w:szCs w:val="24"/>
              </w:rPr>
            </w:pPr>
            <w:r>
              <w:rPr>
                <w:color w:val="000000"/>
                <w:szCs w:val="24"/>
              </w:rPr>
              <w:t>12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19-11,Dobele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13</w:t>
            </w:r>
          </w:p>
        </w:tc>
        <w:tc>
          <w:tcPr>
            <w:tcW w:w="4134" w:type="dxa"/>
            <w:tcBorders>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20-11,Dobele</w:t>
            </w:r>
          </w:p>
        </w:tc>
        <w:tc>
          <w:tcPr>
            <w:tcW w:w="3834" w:type="dxa"/>
            <w:tcBorders>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14</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20-20,Dobele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15</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20-23,Dobele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16</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20-24,Dobele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17</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21-19,Dobele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18</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21-24,Dobele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19</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23-11,Dobele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20</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25-17,Dobele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21</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15-29,Dobele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22</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20-13,Dobele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23</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20-26,Dobele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24</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20-35,Dobele.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25</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23-8,Dobele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26</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23-9,Dobele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27</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23-11,Dobele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28</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23-13,Dobele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29</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23-14,Dobele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30</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23-33,Dobele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31</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23-45,Dobele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32</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23-47,Dobele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33</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23-75,Dobele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34</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23-95,Dobele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35</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23-105,Dobele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36</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25-11,Dobele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89.6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37</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25-26,Dobele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38</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Dainu iela 5-1,Dobele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39</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Dainu iela 5-24,Dobele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40</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Dainu iela 5-29,Dobele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41</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Dainu iela 6-13,Dobele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42</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Dainu iela 6-14,Dobele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43</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Dainu iela 6-28,Dobele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44</w:t>
            </w:r>
          </w:p>
        </w:tc>
        <w:tc>
          <w:tcPr>
            <w:tcW w:w="4134" w:type="dxa"/>
            <w:tcBorders>
              <w:bottom w:val="single" w:color="000000" w:sz="8" w:space="0"/>
              <w:right w:val="single" w:color="000000" w:sz="8" w:space="0"/>
            </w:tcBorders>
            <w:vAlign w:val="bottom"/>
          </w:tcPr>
          <w:p>
            <w:pPr>
              <w:autoSpaceDN w:val="0"/>
              <w:textAlignment w:val="bottom"/>
              <w:rPr>
                <w:color w:val="000000"/>
                <w:szCs w:val="24"/>
              </w:rPr>
            </w:pPr>
            <w:r>
              <w:rPr>
                <w:color w:val="000000"/>
                <w:szCs w:val="24"/>
              </w:rPr>
              <w:t>Dainu iela 6-30,Dobele</w:t>
            </w:r>
          </w:p>
        </w:tc>
        <w:tc>
          <w:tcPr>
            <w:tcW w:w="3834" w:type="dxa"/>
            <w:tcBorders>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45</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Dainu iela 10-2,Dobele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46</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Dainu iela 10-14,Dobele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47</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Dainu iela 10-17,Dobele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48</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Dainu iela 10-39,Dobele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49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7-33,Dobele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50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7-44,Dobele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51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8-4,Dobele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52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9-14,Dobele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53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10-3,Dobele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80.2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54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10-5,Dobele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55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13-2,Dobele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56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13-14,Dobele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57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13-15,Dobele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58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13-16,Dobele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59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13-21,Dobele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60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13-26,Dobele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61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13-28,Dobele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62</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13-31,Dobele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63</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13-33,Dobele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64</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13-38,Dobele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65</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13-40,Dobele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66</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16-3,Dobele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81.2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67</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20-2 ,Dobele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68</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20-10,Dobele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69</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20-12,Dobele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70</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20-15,Dobele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71</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20-19,Dobele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72</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22-8 ,Dobele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73</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22-12,Dobele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80.5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74</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24-3,Dobele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75</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28-6,Dobele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82.1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76</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28-10,Dobele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93.3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77</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28-13,Dobele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78</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28-16,Dobele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79</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28-17,Dobele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80</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28-11,Dobele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81</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32-5,Dobele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82</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32-6,Dobele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81.8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83</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32-10 ,Dobele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97.1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84</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32-18,Dobele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85</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2-1,Dobele.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86</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2-2,Dobele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87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2-3,Dobele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88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2-4,Dobele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89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2-5,Dobele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15.5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90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2-6,Dobele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91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2-7,Dobele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92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2-8,Dobele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93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2-9,Dobele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94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4-1,Dobele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95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4-2,Dobele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96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4-3,Dobele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97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4-4,Dobele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16.1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98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4-5,Dobele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99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4-6,Dobele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100</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5-1,Dobele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101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5-2,Dobele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102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5-3,Dobele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103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5-4,Dobele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104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5-5,Dobele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105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5-6,Dobele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106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5-7,Dobele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107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8-1,Dobele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108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8-2,Dobele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109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8-3,Dobele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110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8-5,Dobele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111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8-6,Dobele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112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9-4,Dobele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113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9-6,Dobele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114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9-7,Dobele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115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29-5,Dobele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116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38-1,Dobele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117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38-2,Dobele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118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38-4,Dobele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119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Elektrības iela 3-3,Dobele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120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E. Francmaņa iela 4-3 ,Dobele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121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E. Francmaņa iela 4-7,Dobele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122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E. Francmaņa iela 4-11 ,Dobele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123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E. Francmaņa iela 8-12,Dobele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124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E. Francmaņa iela 10-10,Dobele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125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E. Francmaņa iela 10-14,Dobele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126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E. Francmaņa iela 10-24,Dobele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127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 Barona iela 12-15,Dobele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128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 Barona iela 12-37,Dobele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129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 Barona iela 12-40,Dobele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130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1A-2,Dobele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131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2-1,Dobele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132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2-5,Dobele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133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2-12,Dobele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134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4-14,Dobele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135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4-21,Dobele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136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4-23,Dobele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137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4-69,Dobele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138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5-17,Dobele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139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8-21,Dobele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140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8-22,Dobele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141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8-25,Dobele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142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8-26,Dobele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143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8-28,Dobele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144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8-32,Dobele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145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8-34,Dobele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146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8-64,Dobele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147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8-69,Dobele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148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8-70,Dobele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149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9-13,Dobele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150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9-24,Dobele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151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9-26,Dobele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152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9-29,Dobele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153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9-41,Dobele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154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9-43,Dobele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155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9-46,Dobele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156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9-52,Dobele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157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9-54,Dobele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158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11-4,Dobele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159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11-11,Dobele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160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11-16,Dobele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161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11-23,Dobele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162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11-26,Dobele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163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11-35,Dobele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164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11-40,Dobele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165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11-42,Dobele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166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11-4,Dobele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167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11-45,Dobele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168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11-49,Dobele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169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11-51,Dobele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170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13-8,Dobele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171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13-13,Dobele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172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13-20,Dobele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173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13-29,Dobele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174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13-36,Dobele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175</w:t>
            </w:r>
          </w:p>
        </w:tc>
        <w:tc>
          <w:tcPr>
            <w:tcW w:w="4134" w:type="dxa"/>
            <w:tcBorders>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 Valdemāra iela 2-2,Dobele</w:t>
            </w:r>
          </w:p>
        </w:tc>
        <w:tc>
          <w:tcPr>
            <w:tcW w:w="3834" w:type="dxa"/>
            <w:tcBorders>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176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 Valdemāra iela 9-4,Dobele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177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 Valdemāra iela 9-8,Dobele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178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 Valdemāra iela 9-14,Dobele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179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 Valdemāra iela 9-30,Dobele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180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 Valdemāra iela 11-2,Dobele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181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Liepu iela 4A-14,Dobele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182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Liepu iela 4B-10,Dobele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183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Liepu iela 4B-18,Dobele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184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Liepu iela 6A-14,Dobele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185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Liepu iela 10A-23,Dobele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186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2-28,Dobele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187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2-41,Dobele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188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2-53,Dobele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189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2-54,Dobele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190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4-11,Dobele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191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4-12,Dobele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192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4-38,Dobele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193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4-55,Dobele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194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4-58,Dobele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195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4-76,Dobele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196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4-79,Dobele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197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6-8,Dobele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198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6-16,Dobele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199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6-19,Dobele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200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6-23,Dobele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201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6-28,Dobele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202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6-41,Dobele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203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6-46,Dobele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204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6-49,Dobele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205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6-53,Dobele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206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6-55,Dobele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207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29-12,Dobele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208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29-24,Dobele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209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43-3,Dobele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210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45-3,Dobele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211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1-11,Dobele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212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1-18,Dobele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213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1-29,Dobele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214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1-31,Dobele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215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1-38,Dobele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216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2-1,Dobele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217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2-3,Dobele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218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2-4,Dobele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219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2-5,Dobele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220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2-6,Dobele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221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2-7,Dobele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17.3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222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2-9,Dobele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223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6-1,Dobele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224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6-2,Dobele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225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6-4,Dobele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226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6-5,Dobele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227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6-10,Dobele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228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6-17,Dobele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229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7-5,Dobele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230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9-1,Dobele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231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9-2,Dobele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232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9-3,Dobele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233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9-4,Dobele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234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9-9,Dobele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235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9-12,Dobele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236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9-14,Dobele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237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9-20,Dobele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238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9-22,Dobele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239</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10-4,Dobele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240</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10-17,Dobele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241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10-23,Dobele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242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10-27,Dobele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243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10-46,Dobele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244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10-54,Dobele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245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11-1,Dobele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246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11-5,Dobele,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247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11-6,Dobele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248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11-7,Dobele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249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11-10,Dobele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250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11-12,Dobele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251</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11-16,Dobele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252</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11-17,Dobele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253</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11-19,Dobele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254</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11-21,Dobele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255</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11-23,Dobele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256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12-8,Dobele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257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12-11,Dobele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258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12-26,Dobele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259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12-36,Dobele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260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12-48,Dobele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261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18-1,Dobele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262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18-8,Dobele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263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18-9,Dobele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264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18-22,Dobele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265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Pumpuru iela 1-3,Dobele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266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Pumpuru iela 1-9,Dobele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267</w:t>
            </w:r>
          </w:p>
        </w:tc>
        <w:tc>
          <w:tcPr>
            <w:tcW w:w="4134" w:type="dxa"/>
            <w:tcBorders>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Robežu iela 23-4,Dobele</w:t>
            </w:r>
          </w:p>
        </w:tc>
        <w:tc>
          <w:tcPr>
            <w:tcW w:w="3834" w:type="dxa"/>
            <w:tcBorders>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268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5-7,Dobele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269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5-9,Dobele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270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10-12,Dobele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271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10-33,Dobele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272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10-53,Dobele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273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14-21,Dobele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274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14-25,Dobele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275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14-27,Dobele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276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14-28,Dobele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277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14-46,Dobele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278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14-54,Dobele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279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14-63,Dobele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280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14-67,Dobele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281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16-11,Dobele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282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16-18,Dobele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283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16-26,Dobele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284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16-36,Dobele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285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16-50,Dobele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286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24-1,Dobele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287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24-19,Dobele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288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24-23,Dobele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289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24-33,Dobele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290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24-39,Dobele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291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26-24,Dobele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292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26-28,Dobele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293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26-45,Dobele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294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26-47,Dobele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295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26-52,Dobele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296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26-53,Dobele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297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26-55,Dobele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298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26-64,Dobele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299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26-65,Dobele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300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26-84,Dobele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000000"/>
                <w:szCs w:val="24"/>
              </w:rPr>
            </w:pPr>
            <w:r>
              <w:rPr>
                <w:rFonts w:hint="default"/>
                <w:color w:val="000000"/>
                <w:szCs w:val="24"/>
              </w:rPr>
              <w:t>301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rFonts w:hint="default"/>
                <w:color w:val="auto"/>
                <w:szCs w:val="24"/>
              </w:rPr>
            </w:pPr>
            <w:r>
              <w:rPr>
                <w:rFonts w:hint="default"/>
                <w:color w:val="auto"/>
                <w:szCs w:val="24"/>
              </w:rPr>
              <w:t>Priežu iela 1-1,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58.8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000000"/>
                <w:szCs w:val="24"/>
              </w:rPr>
            </w:pPr>
            <w:r>
              <w:rPr>
                <w:rFonts w:hint="default"/>
                <w:color w:val="000000"/>
                <w:szCs w:val="24"/>
              </w:rPr>
              <w:t>302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rFonts w:hint="default"/>
                <w:color w:val="auto"/>
                <w:szCs w:val="24"/>
              </w:rPr>
            </w:pPr>
            <w:r>
              <w:rPr>
                <w:rFonts w:hint="default"/>
                <w:color w:val="auto"/>
                <w:szCs w:val="24"/>
              </w:rPr>
              <w:t>Priežu iela 2-13,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58.7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000000"/>
                <w:szCs w:val="24"/>
              </w:rPr>
            </w:pPr>
            <w:r>
              <w:rPr>
                <w:rFonts w:hint="default"/>
                <w:color w:val="000000"/>
                <w:szCs w:val="24"/>
              </w:rPr>
              <w:t>303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2-15,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81.4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000000"/>
                <w:szCs w:val="24"/>
              </w:rPr>
            </w:pPr>
            <w:r>
              <w:rPr>
                <w:rFonts w:hint="default"/>
                <w:color w:val="000000"/>
                <w:szCs w:val="24"/>
              </w:rPr>
              <w:t>304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3-2,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71.5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000000"/>
                <w:szCs w:val="24"/>
              </w:rPr>
            </w:pPr>
            <w:r>
              <w:rPr>
                <w:rFonts w:hint="default"/>
                <w:color w:val="000000"/>
                <w:szCs w:val="24"/>
              </w:rPr>
              <w:t>305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3-3,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80.2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auto"/>
                <w:szCs w:val="24"/>
              </w:rPr>
            </w:pPr>
            <w:r>
              <w:rPr>
                <w:rFonts w:hint="default"/>
                <w:color w:val="auto"/>
                <w:szCs w:val="24"/>
              </w:rPr>
              <w:t>306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4-5,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73.1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auto"/>
                <w:szCs w:val="24"/>
              </w:rPr>
            </w:pPr>
            <w:r>
              <w:rPr>
                <w:rFonts w:hint="default"/>
                <w:color w:val="auto"/>
                <w:szCs w:val="24"/>
              </w:rPr>
              <w:t>307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4-9,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81.3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auto"/>
                <w:szCs w:val="24"/>
              </w:rPr>
            </w:pPr>
            <w:r>
              <w:rPr>
                <w:rFonts w:hint="default"/>
                <w:color w:val="auto"/>
                <w:szCs w:val="24"/>
              </w:rPr>
              <w:t>308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4-12,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82.3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000000"/>
                <w:szCs w:val="24"/>
              </w:rPr>
            </w:pPr>
            <w:r>
              <w:rPr>
                <w:rFonts w:hint="default"/>
                <w:color w:val="000000"/>
                <w:szCs w:val="24"/>
              </w:rPr>
              <w:t>309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10-5,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auto"/>
                <w:sz w:val="22"/>
              </w:rPr>
            </w:pPr>
            <w:r>
              <w:rPr>
                <w:rFonts w:hint="default" w:ascii="Calibri" w:hAnsi="SimSun"/>
                <w:color w:val="auto"/>
                <w:sz w:val="22"/>
              </w:rPr>
              <w:t>28.9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000000"/>
                <w:szCs w:val="24"/>
              </w:rPr>
            </w:pPr>
            <w:r>
              <w:rPr>
                <w:rFonts w:hint="default"/>
                <w:color w:val="000000"/>
                <w:szCs w:val="24"/>
              </w:rPr>
              <w:t>310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10-11,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auto"/>
                <w:sz w:val="22"/>
              </w:rPr>
            </w:pPr>
            <w:r>
              <w:rPr>
                <w:rFonts w:hint="default" w:ascii="Calibri" w:hAnsi="SimSun"/>
                <w:color w:val="auto"/>
                <w:sz w:val="22"/>
              </w:rPr>
              <w:t>41.7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000000"/>
                <w:szCs w:val="24"/>
              </w:rPr>
            </w:pPr>
            <w:r>
              <w:rPr>
                <w:rFonts w:hint="default"/>
                <w:color w:val="000000"/>
                <w:szCs w:val="24"/>
              </w:rPr>
              <w:t>311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10-13,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auto"/>
                <w:sz w:val="22"/>
              </w:rPr>
            </w:pPr>
            <w:r>
              <w:rPr>
                <w:rFonts w:hint="default" w:ascii="Calibri" w:hAnsi="SimSun"/>
                <w:color w:val="auto"/>
                <w:sz w:val="22"/>
              </w:rPr>
              <w:t>40.5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000000"/>
                <w:szCs w:val="24"/>
              </w:rPr>
            </w:pPr>
            <w:r>
              <w:rPr>
                <w:rFonts w:hint="default"/>
                <w:color w:val="000000"/>
                <w:szCs w:val="24"/>
              </w:rPr>
              <w:t>312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10-20,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auto"/>
                <w:sz w:val="22"/>
              </w:rPr>
            </w:pPr>
            <w:r>
              <w:rPr>
                <w:rFonts w:hint="default" w:ascii="Calibri" w:hAnsi="SimSun"/>
                <w:color w:val="auto"/>
                <w:sz w:val="22"/>
              </w:rPr>
              <w:t>28.2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auto"/>
                <w:szCs w:val="24"/>
              </w:rPr>
            </w:pPr>
            <w:r>
              <w:rPr>
                <w:rFonts w:hint="default"/>
                <w:color w:val="auto"/>
                <w:szCs w:val="24"/>
              </w:rPr>
              <w:t>313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12-21,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auto"/>
                <w:sz w:val="22"/>
              </w:rPr>
            </w:pPr>
            <w:r>
              <w:rPr>
                <w:rFonts w:hint="default" w:ascii="Calibri" w:hAnsi="SimSun"/>
                <w:color w:val="auto"/>
                <w:sz w:val="22"/>
              </w:rPr>
              <w:t>41.7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auto"/>
                <w:szCs w:val="24"/>
              </w:rPr>
            </w:pPr>
            <w:r>
              <w:rPr>
                <w:rFonts w:hint="default"/>
                <w:color w:val="auto"/>
                <w:szCs w:val="24"/>
              </w:rPr>
              <w:t>314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12-23,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auto"/>
                <w:sz w:val="22"/>
              </w:rPr>
            </w:pPr>
            <w:r>
              <w:rPr>
                <w:rFonts w:hint="default" w:ascii="Calibri" w:hAnsi="SimSun"/>
                <w:color w:val="auto"/>
                <w:sz w:val="22"/>
              </w:rPr>
              <w:t>37.4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auto"/>
                <w:szCs w:val="24"/>
              </w:rPr>
            </w:pPr>
            <w:r>
              <w:rPr>
                <w:rFonts w:hint="default"/>
                <w:color w:val="auto"/>
                <w:szCs w:val="24"/>
              </w:rPr>
              <w:t>315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13-6,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54.5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000000"/>
                <w:szCs w:val="24"/>
              </w:rPr>
            </w:pPr>
            <w:r>
              <w:rPr>
                <w:rFonts w:hint="default"/>
                <w:color w:val="000000"/>
                <w:szCs w:val="24"/>
              </w:rPr>
              <w:t>316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rFonts w:hint="default"/>
                <w:color w:val="auto"/>
                <w:szCs w:val="24"/>
              </w:rPr>
            </w:pPr>
            <w:r>
              <w:rPr>
                <w:rFonts w:hint="default"/>
                <w:color w:val="auto"/>
                <w:szCs w:val="24"/>
              </w:rPr>
              <w:t>Priežu iela 13-7,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54.1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000000"/>
                <w:szCs w:val="24"/>
              </w:rPr>
            </w:pPr>
            <w:r>
              <w:rPr>
                <w:rFonts w:hint="default"/>
                <w:color w:val="000000"/>
                <w:szCs w:val="24"/>
              </w:rPr>
              <w:t>317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13-14,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000000"/>
                <w:szCs w:val="24"/>
              </w:rPr>
            </w:pPr>
            <w:r>
              <w:rPr>
                <w:rFonts w:hint="default"/>
                <w:color w:val="000000"/>
                <w:szCs w:val="24"/>
              </w:rPr>
              <w:t>318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14-5,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29.3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000000"/>
                <w:szCs w:val="24"/>
              </w:rPr>
            </w:pPr>
            <w:r>
              <w:rPr>
                <w:rFonts w:hint="default"/>
                <w:color w:val="000000"/>
                <w:szCs w:val="24"/>
              </w:rPr>
              <w:t>319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rFonts w:hint="default"/>
                <w:color w:val="auto"/>
                <w:szCs w:val="24"/>
                <w:lang w:val="en-US"/>
              </w:rPr>
            </w:pPr>
            <w:r>
              <w:rPr>
                <w:rFonts w:hint="default"/>
                <w:color w:val="auto"/>
                <w:szCs w:val="24"/>
              </w:rPr>
              <w:t>Priežu iela 14-8,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41.9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000000"/>
                <w:szCs w:val="24"/>
              </w:rPr>
            </w:pPr>
            <w:r>
              <w:rPr>
                <w:rFonts w:hint="default"/>
                <w:color w:val="000000"/>
                <w:szCs w:val="24"/>
              </w:rPr>
              <w:t>320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14-13,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auto"/>
                <w:sz w:val="22"/>
              </w:rPr>
            </w:pPr>
            <w:r>
              <w:rPr>
                <w:rFonts w:hint="default" w:ascii="Calibri" w:hAnsi="SimSun"/>
                <w:color w:val="000000"/>
                <w:sz w:val="22"/>
              </w:rPr>
              <w:t>41.1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000000"/>
                <w:szCs w:val="24"/>
              </w:rPr>
            </w:pPr>
            <w:r>
              <w:rPr>
                <w:rFonts w:hint="default"/>
                <w:color w:val="000000"/>
                <w:szCs w:val="24"/>
              </w:rPr>
              <w:t>321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14-15,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auto"/>
                <w:sz w:val="22"/>
              </w:rPr>
            </w:pPr>
            <w:r>
              <w:rPr>
                <w:rFonts w:hint="default" w:ascii="Calibri" w:hAnsi="SimSun"/>
                <w:color w:val="000000"/>
                <w:sz w:val="22"/>
              </w:rPr>
              <w:t>39.4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000000"/>
                <w:szCs w:val="24"/>
              </w:rPr>
            </w:pPr>
            <w:r>
              <w:rPr>
                <w:rFonts w:hint="default"/>
                <w:color w:val="000000"/>
                <w:szCs w:val="24"/>
              </w:rPr>
              <w:t>322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17-7,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auto"/>
                <w:sz w:val="22"/>
              </w:rPr>
            </w:pPr>
            <w:r>
              <w:rPr>
                <w:rFonts w:hint="default" w:ascii="Calibri" w:hAnsi="SimSun"/>
                <w:color w:val="auto"/>
                <w:sz w:val="22"/>
              </w:rPr>
              <w:t>54.5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000000"/>
                <w:szCs w:val="24"/>
              </w:rPr>
            </w:pPr>
            <w:r>
              <w:rPr>
                <w:rFonts w:hint="default"/>
                <w:color w:val="000000"/>
                <w:szCs w:val="24"/>
              </w:rPr>
              <w:t>323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17-22,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auto"/>
                <w:sz w:val="22"/>
              </w:rPr>
            </w:pPr>
            <w:r>
              <w:rPr>
                <w:rFonts w:hint="default" w:ascii="Calibri" w:hAnsi="SimSun"/>
                <w:color w:val="auto"/>
                <w:sz w:val="22"/>
              </w:rPr>
              <w:t>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000000"/>
                <w:szCs w:val="24"/>
              </w:rPr>
            </w:pPr>
            <w:r>
              <w:rPr>
                <w:rFonts w:hint="default"/>
                <w:color w:val="000000"/>
                <w:szCs w:val="24"/>
              </w:rPr>
              <w:t>324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19-11,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auto"/>
                <w:sz w:val="22"/>
              </w:rPr>
            </w:pPr>
            <w:r>
              <w:rPr>
                <w:rFonts w:hint="default" w:ascii="Calibri" w:hAnsi="SimSun"/>
                <w:color w:val="auto"/>
                <w:sz w:val="22"/>
              </w:rPr>
              <w:t>44.6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000000"/>
                <w:szCs w:val="24"/>
              </w:rPr>
            </w:pPr>
            <w:r>
              <w:rPr>
                <w:rFonts w:hint="default"/>
                <w:color w:val="000000"/>
                <w:szCs w:val="24"/>
              </w:rPr>
              <w:t>325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20-5,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auto"/>
                <w:sz w:val="22"/>
              </w:rPr>
            </w:pPr>
            <w:r>
              <w:rPr>
                <w:rFonts w:hint="default" w:ascii="Calibri" w:hAnsi="SimSun"/>
                <w:color w:val="auto"/>
                <w:sz w:val="22"/>
              </w:rPr>
              <w:t>33.5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000000"/>
                <w:szCs w:val="24"/>
              </w:rPr>
            </w:pPr>
            <w:r>
              <w:rPr>
                <w:rFonts w:hint="default"/>
                <w:color w:val="000000"/>
                <w:szCs w:val="24"/>
              </w:rPr>
              <w:t>326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20-7,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auto"/>
                <w:sz w:val="22"/>
              </w:rPr>
            </w:pPr>
            <w:r>
              <w:rPr>
                <w:rFonts w:hint="default" w:ascii="Calibri" w:hAnsi="SimSun"/>
                <w:color w:val="auto"/>
                <w:sz w:val="22"/>
              </w:rPr>
              <w:t>44.2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000000"/>
                <w:szCs w:val="24"/>
              </w:rPr>
            </w:pPr>
            <w:r>
              <w:rPr>
                <w:rFonts w:hint="default"/>
                <w:color w:val="000000"/>
                <w:szCs w:val="24"/>
              </w:rPr>
              <w:t>327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20-11,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auto"/>
                <w:sz w:val="22"/>
              </w:rPr>
              <w:t>34.7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000000"/>
                <w:szCs w:val="24"/>
              </w:rPr>
            </w:pPr>
            <w:r>
              <w:rPr>
                <w:rFonts w:hint="default"/>
                <w:color w:val="000000"/>
                <w:szCs w:val="24"/>
              </w:rPr>
              <w:t>328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20-21,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auto"/>
                <w:sz w:val="22"/>
              </w:rPr>
              <w:t>45.4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000000"/>
                <w:szCs w:val="24"/>
              </w:rPr>
            </w:pPr>
            <w:r>
              <w:rPr>
                <w:rFonts w:hint="default"/>
                <w:color w:val="000000"/>
                <w:szCs w:val="24"/>
              </w:rPr>
              <w:t>329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20-25,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52.8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auto"/>
                <w:szCs w:val="24"/>
              </w:rPr>
            </w:pPr>
            <w:r>
              <w:rPr>
                <w:rFonts w:hint="default"/>
                <w:color w:val="auto"/>
                <w:szCs w:val="24"/>
              </w:rPr>
              <w:t>330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20-29,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25.5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auto"/>
                <w:szCs w:val="24"/>
              </w:rPr>
            </w:pPr>
            <w:r>
              <w:rPr>
                <w:rFonts w:hint="default"/>
                <w:color w:val="auto"/>
                <w:szCs w:val="24"/>
              </w:rPr>
              <w:t>331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20-47,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56.1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auto"/>
                <w:szCs w:val="24"/>
              </w:rPr>
            </w:pPr>
            <w:r>
              <w:rPr>
                <w:rFonts w:hint="default"/>
                <w:color w:val="auto"/>
                <w:szCs w:val="24"/>
              </w:rPr>
              <w:t>332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22-6,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47.5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auto"/>
                <w:szCs w:val="24"/>
              </w:rPr>
            </w:pPr>
            <w:r>
              <w:rPr>
                <w:rFonts w:hint="default"/>
                <w:color w:val="auto"/>
                <w:szCs w:val="24"/>
              </w:rPr>
              <w:t>333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22-13,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44.3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auto"/>
                <w:szCs w:val="24"/>
              </w:rPr>
            </w:pPr>
            <w:r>
              <w:rPr>
                <w:rFonts w:hint="default"/>
                <w:color w:val="auto"/>
                <w:szCs w:val="24"/>
              </w:rPr>
              <w:t>334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22-15,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47,8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auto"/>
                <w:szCs w:val="24"/>
              </w:rPr>
            </w:pPr>
            <w:r>
              <w:rPr>
                <w:rFonts w:hint="default"/>
                <w:color w:val="auto"/>
                <w:szCs w:val="24"/>
              </w:rPr>
              <w:t>335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22-17,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auto"/>
                <w:szCs w:val="24"/>
              </w:rPr>
            </w:pPr>
            <w:r>
              <w:rPr>
                <w:rFonts w:hint="default"/>
                <w:color w:val="auto"/>
                <w:szCs w:val="24"/>
              </w:rPr>
              <w:t>336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22-29,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42.8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auto"/>
                <w:szCs w:val="24"/>
              </w:rPr>
            </w:pPr>
            <w:r>
              <w:rPr>
                <w:rFonts w:hint="default"/>
                <w:color w:val="auto"/>
                <w:szCs w:val="24"/>
              </w:rPr>
              <w:t>337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22-38,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58.4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auto"/>
                <w:szCs w:val="24"/>
              </w:rPr>
            </w:pPr>
            <w:r>
              <w:rPr>
                <w:rFonts w:hint="default"/>
                <w:color w:val="auto"/>
                <w:szCs w:val="24"/>
              </w:rPr>
              <w:t>338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22-42,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25.4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auto"/>
                <w:szCs w:val="24"/>
              </w:rPr>
            </w:pPr>
            <w:r>
              <w:rPr>
                <w:rFonts w:hint="default"/>
                <w:color w:val="auto"/>
                <w:szCs w:val="24"/>
              </w:rPr>
              <w:t>339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22-46,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45.5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auto"/>
                <w:szCs w:val="24"/>
              </w:rPr>
            </w:pPr>
            <w:r>
              <w:rPr>
                <w:rFonts w:hint="default"/>
                <w:color w:val="auto"/>
                <w:szCs w:val="24"/>
              </w:rPr>
              <w:t>340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22-51,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28.1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auto"/>
                <w:szCs w:val="24"/>
              </w:rPr>
            </w:pPr>
            <w:r>
              <w:rPr>
                <w:rFonts w:hint="default"/>
                <w:color w:val="auto"/>
                <w:szCs w:val="24"/>
              </w:rPr>
              <w:t>341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22-52,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57.2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auto"/>
                <w:szCs w:val="24"/>
              </w:rPr>
            </w:pPr>
            <w:r>
              <w:rPr>
                <w:rFonts w:hint="default"/>
                <w:color w:val="auto"/>
                <w:szCs w:val="24"/>
              </w:rPr>
              <w:t>342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24-7,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auto"/>
                <w:szCs w:val="24"/>
              </w:rPr>
            </w:pPr>
            <w:r>
              <w:rPr>
                <w:rFonts w:hint="default"/>
                <w:color w:val="auto"/>
                <w:szCs w:val="24"/>
              </w:rPr>
              <w:t>343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24-15,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45.6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auto"/>
                <w:szCs w:val="24"/>
              </w:rPr>
            </w:pPr>
            <w:r>
              <w:rPr>
                <w:rFonts w:hint="default"/>
                <w:color w:val="auto"/>
                <w:szCs w:val="24"/>
              </w:rPr>
              <w:t>344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24-29,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25.6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auto"/>
                <w:szCs w:val="24"/>
              </w:rPr>
            </w:pPr>
            <w:r>
              <w:rPr>
                <w:rFonts w:hint="default"/>
                <w:color w:val="auto"/>
                <w:szCs w:val="24"/>
              </w:rPr>
              <w:t>345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24-34,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58.3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auto"/>
                <w:szCs w:val="24"/>
              </w:rPr>
            </w:pPr>
            <w:r>
              <w:rPr>
                <w:rFonts w:hint="default"/>
                <w:color w:val="auto"/>
                <w:szCs w:val="24"/>
              </w:rPr>
              <w:t>346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24-35,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71.4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auto"/>
                <w:szCs w:val="24"/>
              </w:rPr>
            </w:pPr>
            <w:r>
              <w:rPr>
                <w:rFonts w:hint="default"/>
                <w:color w:val="auto"/>
                <w:szCs w:val="24"/>
              </w:rPr>
              <w:t>347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24-42,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25.7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747"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auto"/>
                <w:szCs w:val="24"/>
              </w:rPr>
            </w:pPr>
            <w:r>
              <w:rPr>
                <w:rFonts w:hint="default"/>
                <w:color w:val="auto"/>
                <w:szCs w:val="24"/>
              </w:rPr>
              <w:t>348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auto"/>
                <w:szCs w:val="24"/>
              </w:rPr>
            </w:pPr>
            <w:r>
              <w:rPr>
                <w:rFonts w:hint="default"/>
                <w:color w:val="auto"/>
                <w:szCs w:val="24"/>
              </w:rPr>
              <w:t>Priežu iela 24-49,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Calibri" w:hAnsi="SimSun"/>
                <w:color w:val="000000"/>
                <w:sz w:val="22"/>
              </w:rPr>
            </w:pPr>
            <w:r>
              <w:rPr>
                <w:rFonts w:hint="default" w:ascii="Calibri" w:hAnsi="SimSun"/>
                <w:color w:val="000000"/>
                <w:sz w:val="22"/>
              </w:rPr>
              <w:t>45.7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000000"/>
                <w:szCs w:val="24"/>
              </w:rPr>
            </w:pPr>
            <w:r>
              <w:rPr>
                <w:rFonts w:hint="default"/>
                <w:color w:val="000000"/>
                <w:szCs w:val="24"/>
              </w:rPr>
              <w:t>349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rFonts w:hint="default"/>
                <w:color w:val="auto"/>
                <w:szCs w:val="24"/>
              </w:rPr>
              <w:t>Priežu iela 24-53,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ascii="Calibri" w:hAnsi="SimSun"/>
                <w:color w:val="000000"/>
                <w:sz w:val="22"/>
              </w:rPr>
            </w:pPr>
            <w:r>
              <w:rPr>
                <w:rFonts w:hint="default" w:ascii="Calibri" w:hAnsi="SimSun"/>
                <w:color w:val="000000"/>
                <w:sz w:val="22"/>
              </w:rPr>
              <w:t>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color w:val="000000"/>
                <w:szCs w:val="24"/>
              </w:rPr>
            </w:pPr>
            <w:r>
              <w:rPr>
                <w:rFonts w:hint="default"/>
                <w:color w:val="000000"/>
                <w:szCs w:val="24"/>
              </w:rPr>
              <w:t>350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rFonts w:hint="default"/>
                <w:color w:val="auto"/>
                <w:szCs w:val="24"/>
              </w:rPr>
              <w:t>Priežu iela 24-55, Gardene, Auru pagasts, Dobeles novads</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ascii="Calibri" w:hAnsi="SimSun"/>
                <w:color w:val="000000"/>
                <w:sz w:val="22"/>
              </w:rPr>
            </w:pPr>
            <w:r>
              <w:rPr>
                <w:rFonts w:hint="default" w:ascii="Calibri" w:hAnsi="SimSun"/>
                <w:color w:val="000000"/>
                <w:sz w:val="22"/>
              </w:rPr>
              <w:t>47.1</w:t>
            </w:r>
          </w:p>
        </w:tc>
      </w:tr>
    </w:tbl>
    <w:p>
      <w:pPr>
        <w:suppressAutoHyphens/>
        <w:spacing w:before="120" w:after="0" w:line="240" w:lineRule="auto"/>
        <w:ind w:right="-573" w:rightChars="-239"/>
        <w:rPr>
          <w:rFonts w:hint="default" w:eastAsia="Times New Roman" w:cs="Times New Roman"/>
          <w:bCs/>
          <w:i/>
          <w:color w:val="auto"/>
          <w:szCs w:val="24"/>
          <w:lang w:eastAsia="ar-SA"/>
        </w:rPr>
      </w:pPr>
      <w:r>
        <w:rPr>
          <w:rFonts w:hint="default" w:eastAsia="Times New Roman" w:cs="Times New Roman"/>
          <w:bCs/>
          <w:i/>
          <w:color w:val="auto"/>
          <w:szCs w:val="24"/>
          <w:lang w:eastAsia="ar-SA"/>
        </w:rPr>
        <w:t>Kontaktpersonas:</w:t>
      </w:r>
    </w:p>
    <w:p>
      <w:pPr>
        <w:suppressAutoHyphens/>
        <w:spacing w:before="120" w:after="0" w:line="240" w:lineRule="auto"/>
        <w:ind w:right="-573" w:rightChars="-239"/>
        <w:rPr>
          <w:rFonts w:eastAsia="Lucida Sans Unicode" w:cs="Times New Roman"/>
          <w:color w:val="auto"/>
          <w:kern w:val="1"/>
          <w:szCs w:val="20"/>
          <w:lang w:val="en-US"/>
        </w:rPr>
      </w:pPr>
      <w:r>
        <w:rPr>
          <w:rFonts w:hint="default" w:eastAsia="Lucida Sans Unicode" w:cs="Times New Roman"/>
          <w:bCs/>
          <w:color w:val="auto"/>
          <w:kern w:val="1"/>
          <w:szCs w:val="20"/>
        </w:rPr>
        <w:t>N</w:t>
      </w:r>
      <w:r>
        <w:rPr>
          <w:rFonts w:eastAsia="Lucida Sans Unicode" w:cs="Times New Roman"/>
          <w:bCs/>
          <w:color w:val="auto"/>
          <w:kern w:val="1"/>
          <w:szCs w:val="20"/>
          <w:lang w:val="en-US"/>
        </w:rPr>
        <w:t>amu pārzin</w:t>
      </w:r>
      <w:r>
        <w:rPr>
          <w:rFonts w:hint="default" w:eastAsia="Lucida Sans Unicode" w:cs="Times New Roman"/>
          <w:bCs/>
          <w:color w:val="auto"/>
          <w:kern w:val="1"/>
          <w:szCs w:val="20"/>
        </w:rPr>
        <w:t>is</w:t>
      </w:r>
      <w:r>
        <w:rPr>
          <w:rFonts w:eastAsia="Lucida Sans Unicode" w:cs="Times New Roman"/>
          <w:bCs/>
          <w:color w:val="auto"/>
          <w:kern w:val="1"/>
          <w:szCs w:val="20"/>
          <w:lang w:val="en-US"/>
        </w:rPr>
        <w:t xml:space="preserve"> </w:t>
      </w:r>
      <w:r>
        <w:rPr>
          <w:rFonts w:hint="default" w:eastAsia="Lucida Sans Unicode" w:cs="Times New Roman"/>
          <w:bCs/>
          <w:color w:val="auto"/>
          <w:kern w:val="1"/>
          <w:szCs w:val="20"/>
        </w:rPr>
        <w:t>Edgars Kvēps</w:t>
      </w:r>
      <w:r>
        <w:rPr>
          <w:rFonts w:eastAsia="Lucida Sans Unicode" w:cs="Times New Roman"/>
          <w:bCs/>
          <w:color w:val="auto"/>
          <w:kern w:val="1"/>
          <w:szCs w:val="20"/>
          <w:lang w:val="en-US"/>
        </w:rPr>
        <w:t xml:space="preserve">, mobilais telefons </w:t>
      </w:r>
      <w:r>
        <w:rPr>
          <w:rFonts w:hint="default" w:eastAsia="Lucida Sans Unicode" w:cs="Times New Roman"/>
          <w:bCs/>
          <w:color w:val="auto"/>
          <w:kern w:val="1"/>
          <w:szCs w:val="20"/>
        </w:rPr>
        <w:t>26964607</w:t>
      </w:r>
      <w:r>
        <w:rPr>
          <w:rFonts w:eastAsia="Lucida Sans Unicode" w:cs="Times New Roman"/>
          <w:bCs/>
          <w:color w:val="auto"/>
          <w:kern w:val="1"/>
          <w:szCs w:val="20"/>
          <w:lang w:val="en-US"/>
        </w:rPr>
        <w:t xml:space="preserve">, e-pasts: </w:t>
      </w:r>
      <w:r>
        <w:rPr>
          <w:color w:val="auto"/>
        </w:rPr>
        <w:fldChar w:fldCharType="begin"/>
      </w:r>
      <w:r>
        <w:rPr>
          <w:color w:val="auto"/>
        </w:rPr>
        <w:instrText xml:space="preserve">HYPERLINK "mailto:namuparzinis@dobelesnamsaimnieks.lv" </w:instrText>
      </w:r>
      <w:r>
        <w:rPr>
          <w:color w:val="auto"/>
        </w:rPr>
        <w:fldChar w:fldCharType="separate"/>
      </w:r>
      <w:r>
        <w:rPr>
          <w:rStyle w:val="7"/>
          <w:rFonts w:eastAsia="Calibri" w:cs="Times New Roman"/>
          <w:color w:val="auto"/>
          <w:kern w:val="1"/>
          <w:szCs w:val="20"/>
          <w:lang w:val="en-US" w:bidi="en-US"/>
        </w:rPr>
        <w:t>namuparzinis@dobelesnamsaimnieks.lv</w:t>
      </w:r>
      <w:r>
        <w:rPr>
          <w:color w:val="auto"/>
        </w:rPr>
        <w:fldChar w:fldCharType="end"/>
      </w:r>
      <w:r>
        <w:rPr>
          <w:rFonts w:eastAsia="Lucida Sans Unicode" w:cs="Times New Roman"/>
          <w:color w:val="auto"/>
          <w:kern w:val="1"/>
          <w:szCs w:val="20"/>
          <w:lang w:val="en-US"/>
        </w:rPr>
        <w:t>,</w:t>
      </w:r>
    </w:p>
    <w:p>
      <w:pPr>
        <w:suppressAutoHyphens/>
        <w:spacing w:before="120" w:after="0" w:line="240" w:lineRule="auto"/>
        <w:ind w:right="-573" w:rightChars="-239"/>
        <w:rPr>
          <w:rFonts w:eastAsia="Times New Roman" w:cs="Times New Roman"/>
          <w:bCs/>
          <w:i/>
          <w:color w:val="FF0000"/>
          <w:szCs w:val="24"/>
          <w:lang w:eastAsia="ar-SA"/>
        </w:rPr>
      </w:pPr>
      <w:r>
        <w:rPr>
          <w:rFonts w:hint="default" w:eastAsia="Lucida Sans Unicode" w:cs="Times New Roman"/>
          <w:color w:val="auto"/>
          <w:kern w:val="1"/>
          <w:szCs w:val="20"/>
        </w:rPr>
        <w:t xml:space="preserve"> </w:t>
      </w:r>
      <w:r>
        <w:rPr>
          <w:rFonts w:hint="default" w:ascii="Times New Roman" w:hAnsi="Times New Roman" w:cs="Times New Roman"/>
          <w:bCs/>
          <w:color w:val="auto"/>
          <w:sz w:val="24"/>
          <w:szCs w:val="24"/>
          <w:lang w:eastAsia="ar-SA"/>
        </w:rPr>
        <w:t xml:space="preserve">Tehniskā daļas vadītājs Jānis Kreicbergs, mobilais telefons 28347204, e-pasts: </w:t>
      </w:r>
      <w:r>
        <w:rPr>
          <w:rFonts w:hint="default" w:ascii="Times New Roman" w:hAnsi="Times New Roman" w:cs="Times New Roman"/>
          <w:i w:val="0"/>
          <w:iCs w:val="0"/>
          <w:color w:val="auto"/>
          <w:sz w:val="24"/>
          <w:szCs w:val="24"/>
        </w:rPr>
        <w:fldChar w:fldCharType="begin"/>
      </w:r>
      <w:r>
        <w:rPr>
          <w:rFonts w:hint="default" w:ascii="Times New Roman" w:hAnsi="Times New Roman" w:cs="Times New Roman"/>
          <w:i w:val="0"/>
          <w:iCs w:val="0"/>
          <w:color w:val="auto"/>
          <w:sz w:val="24"/>
          <w:szCs w:val="24"/>
        </w:rPr>
        <w:instrText xml:space="preserve">HYPERLINK "mailto:raimonds.malinovskis@dobelesnamsaimnieks.lv" </w:instrText>
      </w:r>
      <w:r>
        <w:rPr>
          <w:rFonts w:hint="default" w:ascii="Times New Roman" w:hAnsi="Times New Roman" w:cs="Times New Roman"/>
          <w:i w:val="0"/>
          <w:iCs w:val="0"/>
          <w:color w:val="auto"/>
          <w:sz w:val="24"/>
          <w:szCs w:val="24"/>
        </w:rPr>
        <w:fldChar w:fldCharType="separate"/>
      </w:r>
      <w:r>
        <w:rPr>
          <w:rStyle w:val="7"/>
          <w:rFonts w:hint="default" w:ascii="Times New Roman" w:hAnsi="Times New Roman" w:cs="Times New Roman"/>
          <w:bCs/>
          <w:i w:val="0"/>
          <w:iCs w:val="0"/>
          <w:color w:val="auto"/>
          <w:sz w:val="24"/>
          <w:szCs w:val="24"/>
          <w:lang w:eastAsia="ar-SA"/>
        </w:rPr>
        <w:t>janis.kreicbergs@dobelesnamsaimnieks.lv</w:t>
      </w:r>
      <w:r>
        <w:rPr>
          <w:rFonts w:hint="default" w:ascii="Times New Roman" w:hAnsi="Times New Roman" w:cs="Times New Roman"/>
          <w:i w:val="0"/>
          <w:iCs w:val="0"/>
          <w:color w:val="auto"/>
          <w:sz w:val="24"/>
          <w:szCs w:val="24"/>
        </w:rPr>
        <w:fldChar w:fldCharType="end"/>
      </w: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after="0" w:line="240" w:lineRule="auto"/>
        <w:jc w:val="right"/>
        <w:rPr>
          <w:rFonts w:hint="default" w:eastAsia="Times New Roman" w:cs="Times New Roman"/>
          <w:bCs/>
          <w:iCs/>
          <w:color w:val="auto"/>
          <w:sz w:val="22"/>
          <w:lang w:eastAsia="ar-SA"/>
        </w:rPr>
      </w:pPr>
      <w:r>
        <w:rPr>
          <w:rFonts w:eastAsia="Times New Roman" w:cs="Times New Roman"/>
          <w:bCs/>
          <w:iCs/>
          <w:color w:val="auto"/>
          <w:sz w:val="22"/>
          <w:lang w:eastAsia="ar-SA"/>
        </w:rPr>
        <w:t>Nolikuma pielikums Nr.</w:t>
      </w:r>
      <w:r>
        <w:rPr>
          <w:rFonts w:hint="default" w:eastAsia="Times New Roman" w:cs="Times New Roman"/>
          <w:bCs/>
          <w:iCs/>
          <w:color w:val="auto"/>
          <w:sz w:val="22"/>
          <w:lang w:eastAsia="ar-SA"/>
        </w:rPr>
        <w:t>5.2.</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 xml:space="preserve">SIA “DOBELES NAMSAIMNIEKS” izsludinātajā iepirkumā </w:t>
      </w:r>
    </w:p>
    <w:p>
      <w:pPr>
        <w:suppressAutoHyphens/>
        <w:spacing w:after="0" w:line="240" w:lineRule="auto"/>
        <w:jc w:val="right"/>
        <w:rPr>
          <w:rFonts w:eastAsia="Times New Roman" w:cs="Times New Roman"/>
          <w:bCs/>
          <w:iCs/>
          <w:color w:val="auto"/>
          <w:sz w:val="22"/>
          <w:lang w:eastAsia="ar-SA"/>
        </w:rPr>
      </w:pPr>
      <w:r>
        <w:rPr>
          <w:rFonts w:eastAsia="Times New Roman" w:cs="Times New Roman"/>
          <w:iCs/>
          <w:color w:val="auto"/>
          <w:sz w:val="22"/>
          <w:lang w:eastAsia="ar-SA"/>
        </w:rPr>
        <w:t>ID Nr. SIA DN 20</w:t>
      </w:r>
      <w:r>
        <w:rPr>
          <w:rFonts w:hint="default" w:eastAsia="Times New Roman" w:cs="Times New Roman"/>
          <w:iCs/>
          <w:color w:val="auto"/>
          <w:sz w:val="22"/>
          <w:lang w:eastAsia="ar-SA"/>
        </w:rPr>
        <w:t>20/12</w:t>
      </w:r>
    </w:p>
    <w:p>
      <w:pPr>
        <w:suppressAutoHyphens/>
        <w:spacing w:before="120" w:after="0" w:line="240" w:lineRule="auto"/>
        <w:ind w:right="-573" w:rightChars="-239"/>
        <w:rPr>
          <w:rFonts w:eastAsia="Times New Roman" w:cs="Times New Roman"/>
          <w:bCs/>
          <w:i/>
          <w:color w:val="FF0000"/>
          <w:szCs w:val="24"/>
          <w:lang w:eastAsia="ar-SA"/>
        </w:rPr>
      </w:pPr>
    </w:p>
    <w:p>
      <w:pPr>
        <w:jc w:val="center"/>
        <w:rPr>
          <w:b/>
          <w:color w:val="auto"/>
          <w:sz w:val="28"/>
          <w:szCs w:val="28"/>
        </w:rPr>
      </w:pPr>
      <w:r>
        <w:rPr>
          <w:b/>
          <w:color w:val="auto"/>
          <w:sz w:val="28"/>
          <w:szCs w:val="28"/>
        </w:rPr>
        <w:t>Tehniskais piedāvājums</w:t>
      </w:r>
    </w:p>
    <w:p>
      <w:pPr>
        <w:ind w:left="142" w:firstLine="567"/>
        <w:jc w:val="both"/>
        <w:rPr>
          <w:color w:val="auto"/>
        </w:rPr>
      </w:pPr>
    </w:p>
    <w:p>
      <w:pPr>
        <w:ind w:left="142" w:firstLine="567"/>
        <w:jc w:val="both"/>
        <w:rPr>
          <w:color w:val="auto"/>
        </w:rPr>
      </w:pPr>
      <w:r>
        <w:rPr>
          <w:color w:val="auto"/>
        </w:rPr>
        <w:t xml:space="preserve">Tehniskais piedāvājums jāsagatavo brīvā aprakstošā formā saskaņā ar Tehnisko specifikāciju (1.pielikums). Tehniskajā piedāvājumā jāapraksta visas darbības kā tās tiks nodrošinātas (jāiekļauj visas tehniskās specifikācijas sadaļas) un vai vispār tiks nodrošinātas (no apraksta Komisijai jābūt pārliecinātai, ka visi nosacījumi tiks izdarīti un kā tiks izdarīti). </w:t>
      </w:r>
    </w:p>
    <w:p>
      <w:pPr>
        <w:tabs>
          <w:tab w:val="left" w:pos="120"/>
        </w:tabs>
        <w:ind w:left="142" w:firstLine="567"/>
        <w:jc w:val="both"/>
        <w:rPr>
          <w:color w:val="auto"/>
          <w:u w:val="single"/>
        </w:rPr>
      </w:pPr>
      <w:r>
        <w:rPr>
          <w:color w:val="auto"/>
          <w:u w:val="single"/>
        </w:rPr>
        <w:t>Tehniskajā piedāvājumā jāiekļauj:</w:t>
      </w:r>
    </w:p>
    <w:p>
      <w:pPr>
        <w:pStyle w:val="8"/>
        <w:numPr>
          <w:ilvl w:val="2"/>
          <w:numId w:val="34"/>
        </w:numPr>
        <w:tabs>
          <w:tab w:val="left" w:pos="851"/>
          <w:tab w:val="left" w:pos="1134"/>
        </w:tabs>
        <w:ind w:left="993" w:hanging="11"/>
        <w:jc w:val="both"/>
        <w:rPr>
          <w:color w:val="auto"/>
        </w:rPr>
      </w:pPr>
      <w:r>
        <w:rPr>
          <w:color w:val="auto"/>
        </w:rPr>
        <w:t xml:space="preserve">Darbu izpildes Laika grafiks, detalizācijas pakāpe – nedēļa, iekļaujot visus objektus minētajās adresēs (no objektu saraksta). Pretendentam </w:t>
      </w:r>
      <w:r>
        <w:rPr>
          <w:b w:val="0"/>
          <w:bCs w:val="0"/>
          <w:color w:val="auto"/>
        </w:rPr>
        <w:t>Mērījumi daudzdzīvokļu dzīvojamo māju pašvaldības dzīvojamās telpās</w:t>
      </w:r>
      <w:r>
        <w:rPr>
          <w:rFonts w:hint="default"/>
          <w:b w:val="0"/>
          <w:bCs w:val="0"/>
          <w:color w:val="auto"/>
        </w:rPr>
        <w:t xml:space="preserve"> jāveic </w:t>
      </w:r>
      <w:r>
        <w:rPr>
          <w:b w:val="0"/>
          <w:bCs w:val="0"/>
          <w:color w:val="auto"/>
        </w:rPr>
        <w:t>līdz 20</w:t>
      </w:r>
      <w:r>
        <w:rPr>
          <w:rFonts w:hint="default"/>
          <w:b w:val="0"/>
          <w:bCs w:val="0"/>
          <w:color w:val="auto"/>
        </w:rPr>
        <w:t>20</w:t>
      </w:r>
      <w:r>
        <w:rPr>
          <w:b w:val="0"/>
          <w:bCs w:val="0"/>
          <w:color w:val="auto"/>
        </w:rPr>
        <w:t>.gada 30.novembrim.</w:t>
      </w:r>
    </w:p>
    <w:p>
      <w:pPr>
        <w:pStyle w:val="8"/>
        <w:numPr>
          <w:ilvl w:val="2"/>
          <w:numId w:val="34"/>
        </w:numPr>
        <w:tabs>
          <w:tab w:val="left" w:pos="851"/>
          <w:tab w:val="left" w:pos="1134"/>
        </w:tabs>
        <w:ind w:left="993" w:hanging="11"/>
        <w:jc w:val="both"/>
        <w:rPr>
          <w:color w:val="auto"/>
        </w:rPr>
      </w:pPr>
      <w:r>
        <w:rPr>
          <w:color w:val="auto"/>
        </w:rPr>
        <w:t xml:space="preserve">Jāiekļauj </w:t>
      </w:r>
      <w:r>
        <w:rPr>
          <w:b/>
          <w:color w:val="auto"/>
        </w:rPr>
        <w:t>Apliecinājums</w:t>
      </w:r>
      <w:r>
        <w:rPr>
          <w:color w:val="auto"/>
        </w:rPr>
        <w:t>, ka elektriskās vienlīniju shēmas tiks sastādītas tikai ar sertificēta elektroietaišu projektētāja palīdzību. Uzņēmumam jābūt visam izmantotam CAD datorprogrammatūras licencēm.</w:t>
      </w:r>
    </w:p>
    <w:p>
      <w:pPr>
        <w:jc w:val="center"/>
        <w:rPr>
          <w:b/>
          <w:color w:val="FF0000"/>
          <w:sz w:val="28"/>
          <w:szCs w:val="28"/>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48" w:rightChars="-20"/>
        <w:jc w:val="right"/>
        <w:rPr>
          <w:rFonts w:eastAsia="Times New Roman" w:cs="Times New Roman"/>
          <w:bCs/>
          <w:iCs/>
          <w:color w:val="auto"/>
          <w:szCs w:val="24"/>
          <w:lang w:eastAsia="ar-SA"/>
        </w:rPr>
      </w:pPr>
      <w:r>
        <w:rPr>
          <w:rFonts w:eastAsia="Times New Roman" w:cs="Times New Roman"/>
          <w:bCs/>
          <w:iCs/>
          <w:color w:val="auto"/>
          <w:szCs w:val="24"/>
          <w:lang w:eastAsia="ar-SA"/>
        </w:rPr>
        <w:t>Nolikuma pielikums Nr.</w:t>
      </w:r>
      <w:r>
        <w:rPr>
          <w:rFonts w:hint="default" w:eastAsia="Times New Roman" w:cs="Times New Roman"/>
          <w:bCs/>
          <w:iCs/>
          <w:color w:val="auto"/>
          <w:szCs w:val="24"/>
          <w:lang w:eastAsia="ar-SA"/>
        </w:rPr>
        <w:t>6</w:t>
      </w:r>
    </w:p>
    <w:p>
      <w:pPr>
        <w:suppressAutoHyphens/>
        <w:spacing w:after="0" w:line="240" w:lineRule="auto"/>
        <w:ind w:right="-48" w:rightChars="-20"/>
        <w:jc w:val="right"/>
        <w:rPr>
          <w:rFonts w:eastAsia="Times New Roman" w:cs="Times New Roman"/>
          <w:iCs/>
          <w:color w:val="auto"/>
          <w:szCs w:val="24"/>
          <w:lang w:eastAsia="ar-SA"/>
        </w:rPr>
      </w:pPr>
      <w:r>
        <w:rPr>
          <w:rFonts w:eastAsia="Times New Roman" w:cs="Times New Roman"/>
          <w:iCs/>
          <w:color w:val="auto"/>
          <w:szCs w:val="24"/>
          <w:lang w:eastAsia="ar-SA"/>
        </w:rPr>
        <w:t xml:space="preserve">SIA “DOBELES NAMSAIMNIEKS” izsludinātajā iepirkumā </w:t>
      </w:r>
    </w:p>
    <w:p>
      <w:pPr>
        <w:suppressAutoHyphens/>
        <w:spacing w:after="0" w:line="240" w:lineRule="auto"/>
        <w:ind w:right="-48" w:rightChars="-20"/>
        <w:jc w:val="right"/>
        <w:rPr>
          <w:rFonts w:eastAsia="Times New Roman" w:cs="Times New Roman"/>
          <w:iCs/>
          <w:color w:val="auto"/>
          <w:szCs w:val="24"/>
          <w:lang w:eastAsia="ar-SA"/>
        </w:rPr>
      </w:pPr>
      <w:r>
        <w:rPr>
          <w:rFonts w:eastAsia="Times New Roman" w:cs="Times New Roman"/>
          <w:iCs/>
          <w:color w:val="auto"/>
          <w:szCs w:val="24"/>
          <w:lang w:eastAsia="ar-SA"/>
        </w:rPr>
        <w:t>ID Nr. SIA DN 20</w:t>
      </w:r>
      <w:r>
        <w:rPr>
          <w:rFonts w:hint="default" w:eastAsia="Times New Roman" w:cs="Times New Roman"/>
          <w:iCs/>
          <w:color w:val="auto"/>
          <w:szCs w:val="24"/>
          <w:lang w:eastAsia="ar-SA"/>
        </w:rPr>
        <w:t>20</w:t>
      </w:r>
      <w:r>
        <w:rPr>
          <w:rFonts w:eastAsia="Times New Roman" w:cs="Times New Roman"/>
          <w:iCs/>
          <w:color w:val="auto"/>
          <w:szCs w:val="24"/>
          <w:lang w:eastAsia="ar-SA"/>
        </w:rPr>
        <w:t>/</w:t>
      </w:r>
      <w:r>
        <w:rPr>
          <w:rFonts w:hint="default" w:eastAsia="Times New Roman" w:cs="Times New Roman"/>
          <w:iCs/>
          <w:color w:val="auto"/>
          <w:szCs w:val="24"/>
          <w:lang w:eastAsia="ar-SA"/>
        </w:rPr>
        <w:t>12</w:t>
      </w:r>
    </w:p>
    <w:p>
      <w:pPr>
        <w:suppressAutoHyphens/>
        <w:spacing w:after="0" w:line="240" w:lineRule="auto"/>
        <w:ind w:right="-48" w:rightChars="-20"/>
        <w:jc w:val="both"/>
        <w:rPr>
          <w:color w:val="auto"/>
        </w:rPr>
      </w:pPr>
      <w:r>
        <w:rPr>
          <w:rFonts w:eastAsia="Times New Roman" w:cs="Times New Roman"/>
          <w:color w:val="auto"/>
          <w:szCs w:val="24"/>
          <w:lang w:eastAsia="ar-SA"/>
        </w:rPr>
        <w:tab/>
      </w:r>
      <w:r>
        <w:rPr>
          <w:rFonts w:eastAsia="Times New Roman" w:cs="Times New Roman"/>
          <w:color w:val="auto"/>
          <w:szCs w:val="24"/>
          <w:lang w:eastAsia="ar-SA"/>
        </w:rPr>
        <w:tab/>
      </w:r>
      <w:r>
        <w:rPr>
          <w:rFonts w:eastAsia="Times New Roman" w:cs="Times New Roman"/>
          <w:color w:val="auto"/>
          <w:szCs w:val="24"/>
          <w:lang w:eastAsia="ar-SA"/>
        </w:rPr>
        <w:tab/>
      </w:r>
      <w:r>
        <w:rPr>
          <w:rFonts w:eastAsia="Times New Roman" w:cs="Times New Roman"/>
          <w:color w:val="auto"/>
          <w:szCs w:val="24"/>
          <w:lang w:eastAsia="ar-SA"/>
        </w:rPr>
        <w:tab/>
      </w:r>
      <w:r>
        <w:rPr>
          <w:rFonts w:eastAsia="Times New Roman" w:cs="Times New Roman"/>
          <w:color w:val="auto"/>
          <w:szCs w:val="24"/>
          <w:lang w:eastAsia="ar-SA"/>
        </w:rPr>
        <w:tab/>
      </w:r>
    </w:p>
    <w:p>
      <w:pPr>
        <w:ind w:left="360"/>
        <w:jc w:val="right"/>
        <w:rPr>
          <w:b/>
          <w:color w:val="auto"/>
        </w:rPr>
      </w:pPr>
      <w:r>
        <w:rPr>
          <w:b/>
          <w:color w:val="auto"/>
        </w:rPr>
        <w:t>PROJEKTS</w:t>
      </w:r>
    </w:p>
    <w:p>
      <w:pPr>
        <w:spacing w:before="120"/>
        <w:jc w:val="center"/>
        <w:rPr>
          <w:b/>
          <w:color w:val="auto"/>
        </w:rPr>
      </w:pPr>
      <w:r>
        <w:rPr>
          <w:b/>
          <w:color w:val="auto"/>
        </w:rPr>
        <w:t>PAKALPOJUMA LĪGUMS Nr. ___________________</w:t>
      </w:r>
    </w:p>
    <w:p>
      <w:pPr>
        <w:spacing w:before="120"/>
        <w:rPr>
          <w:color w:val="auto"/>
        </w:rPr>
      </w:pPr>
    </w:p>
    <w:p>
      <w:pPr>
        <w:suppressAutoHyphens/>
        <w:overflowPunct w:val="0"/>
        <w:autoSpaceDE w:val="0"/>
        <w:ind w:right="141" w:firstLine="720"/>
        <w:jc w:val="both"/>
        <w:textAlignment w:val="baseline"/>
        <w:rPr>
          <w:b/>
          <w:color w:val="auto"/>
          <w:lang w:eastAsia="zh-CN"/>
        </w:rPr>
      </w:pPr>
      <w:r>
        <w:rPr>
          <w:b/>
          <w:color w:val="auto"/>
        </w:rPr>
        <w:t>SIA „DOBELES NAMSAIMNIEKS”</w:t>
      </w:r>
      <w:r>
        <w:rPr>
          <w:color w:val="auto"/>
        </w:rPr>
        <w:t>, reģ. Nr. 48503021348</w:t>
      </w:r>
      <w:r>
        <w:rPr>
          <w:color w:val="auto"/>
          <w:lang w:eastAsia="zh-CN"/>
        </w:rPr>
        <w:t xml:space="preserve">, adrese: </w:t>
      </w:r>
      <w:r>
        <w:rPr>
          <w:color w:val="auto"/>
        </w:rPr>
        <w:t>Zaļā iela 3, Dobele, Dobeles novads, LV-3701</w:t>
      </w:r>
      <w:r>
        <w:rPr>
          <w:color w:val="auto"/>
          <w:lang w:eastAsia="zh-CN"/>
        </w:rPr>
        <w:t xml:space="preserve">, tās valdes locekļa Jāņa Audzēviča personā, kurš darbojas saskaņā ar Statūtiem, turpmāk tekstā saukts </w:t>
      </w:r>
      <w:r>
        <w:rPr>
          <w:b/>
          <w:color w:val="auto"/>
          <w:lang w:eastAsia="zh-CN"/>
        </w:rPr>
        <w:t>Pasūtītājs</w:t>
      </w:r>
      <w:r>
        <w:rPr>
          <w:color w:val="auto"/>
          <w:lang w:eastAsia="zh-CN"/>
        </w:rPr>
        <w:t xml:space="preserve">, no vienas puses, un </w:t>
      </w:r>
    </w:p>
    <w:p>
      <w:pPr>
        <w:suppressAutoHyphens/>
        <w:overflowPunct w:val="0"/>
        <w:autoSpaceDE w:val="0"/>
        <w:ind w:right="141" w:firstLine="720"/>
        <w:jc w:val="both"/>
        <w:textAlignment w:val="baseline"/>
        <w:rPr>
          <w:color w:val="auto"/>
          <w:lang w:eastAsia="zh-CN"/>
        </w:rPr>
      </w:pPr>
      <w:r>
        <w:rPr>
          <w:b/>
          <w:color w:val="auto"/>
          <w:lang w:eastAsia="zh-CN"/>
        </w:rPr>
        <w:t>SIA “______”</w:t>
      </w:r>
      <w:r>
        <w:rPr>
          <w:color w:val="auto"/>
          <w:lang w:eastAsia="zh-CN"/>
        </w:rPr>
        <w:t>, reģ. Nr.______, adrese: _______tās _________, kurš darbojas saskaņā ar  Sabiedrības statūtiem, turpmāk tekstā saukts</w:t>
      </w:r>
      <w:r>
        <w:rPr>
          <w:b/>
          <w:color w:val="auto"/>
          <w:lang w:eastAsia="zh-CN"/>
        </w:rPr>
        <w:t xml:space="preserve"> Izpildītājs</w:t>
      </w:r>
      <w:r>
        <w:rPr>
          <w:color w:val="auto"/>
          <w:lang w:eastAsia="zh-CN"/>
        </w:rPr>
        <w:t>, no otras puses, turpmāk tekstā saukti kopā un atsevišķi Puses, Puse, savstarpēji vienojoties noslēdz  līgumu, turpmāk tekstā saukts – Līgums, par sekojošo:</w:t>
      </w:r>
    </w:p>
    <w:p>
      <w:pPr>
        <w:suppressAutoHyphens/>
        <w:overflowPunct w:val="0"/>
        <w:autoSpaceDE w:val="0"/>
        <w:ind w:right="141" w:firstLine="720"/>
        <w:jc w:val="both"/>
        <w:textAlignment w:val="baseline"/>
        <w:rPr>
          <w:color w:val="auto"/>
          <w:lang w:eastAsia="zh-CN"/>
        </w:rPr>
      </w:pPr>
    </w:p>
    <w:p>
      <w:pPr>
        <w:numPr>
          <w:ilvl w:val="0"/>
          <w:numId w:val="35"/>
        </w:numPr>
        <w:suppressAutoHyphens/>
        <w:overflowPunct w:val="0"/>
        <w:autoSpaceDE w:val="0"/>
        <w:ind w:left="720" w:right="-416"/>
        <w:contextualSpacing/>
        <w:jc w:val="center"/>
        <w:textAlignment w:val="baseline"/>
        <w:rPr>
          <w:color w:val="auto"/>
          <w:lang w:eastAsia="zh-CN"/>
        </w:rPr>
      </w:pPr>
      <w:r>
        <w:rPr>
          <w:b/>
          <w:color w:val="auto"/>
          <w:lang w:eastAsia="zh-CN"/>
        </w:rPr>
        <w:t>Līguma priekšmets</w:t>
      </w:r>
    </w:p>
    <w:p>
      <w:pPr>
        <w:numPr>
          <w:ilvl w:val="0"/>
          <w:numId w:val="36"/>
        </w:numPr>
        <w:suppressAutoHyphens/>
        <w:overflowPunct w:val="0"/>
        <w:autoSpaceDE w:val="0"/>
        <w:ind w:left="425" w:leftChars="0" w:hanging="425" w:firstLineChars="0"/>
        <w:contextualSpacing/>
        <w:jc w:val="both"/>
        <w:textAlignment w:val="baseline"/>
        <w:rPr>
          <w:color w:val="auto"/>
        </w:rPr>
      </w:pPr>
      <w:r>
        <w:rPr>
          <w:color w:val="auto"/>
          <w:lang w:eastAsia="zh-CN"/>
        </w:rPr>
        <w:t xml:space="preserve"> Pasūtītājs uzdod, bet Izpildītājs par Līgumā noteikto atlīdzību, ar saviem materiāliem, darbarīkiem, ierīcēm un darbaspēku uzņemas veikt</w:t>
      </w:r>
      <w:r>
        <w:rPr>
          <w:color w:val="auto"/>
        </w:rPr>
        <w:t xml:space="preserve"> </w:t>
      </w:r>
      <w:r>
        <w:rPr>
          <w:b/>
          <w:bCs/>
          <w:color w:val="auto"/>
        </w:rPr>
        <w:t>Elektroapgādes  sistēmu mērījumi SIA “DOBELES NAMSAIMNIEKS” apsaimniekojamos objektos: daudzdzīvokļu dzīvojamo māju koplietošanas telpās un pašvaldības dzīvokļos</w:t>
      </w:r>
      <w:r>
        <w:rPr>
          <w:color w:val="auto"/>
        </w:rPr>
        <w:t xml:space="preserve">, </w:t>
      </w:r>
      <w:r>
        <w:rPr>
          <w:color w:val="auto"/>
          <w:lang w:eastAsia="zh-CN"/>
        </w:rPr>
        <w:t xml:space="preserve">turpmāk tekstā – </w:t>
      </w:r>
      <w:r>
        <w:rPr>
          <w:color w:val="auto"/>
        </w:rPr>
        <w:t>virzīt j</w:t>
      </w:r>
      <w:r>
        <w:rPr>
          <w:color w:val="auto"/>
          <w:lang w:eastAsia="zh-CN"/>
        </w:rPr>
        <w:t>Darbi.</w:t>
      </w:r>
    </w:p>
    <w:p>
      <w:pPr>
        <w:numPr>
          <w:ilvl w:val="0"/>
          <w:numId w:val="36"/>
        </w:numPr>
        <w:suppressAutoHyphens/>
        <w:overflowPunct w:val="0"/>
        <w:autoSpaceDE w:val="0"/>
        <w:ind w:left="425" w:leftChars="0" w:hanging="425" w:firstLineChars="0"/>
        <w:contextualSpacing/>
        <w:jc w:val="both"/>
        <w:textAlignment w:val="baseline"/>
        <w:rPr>
          <w:color w:val="auto"/>
        </w:rPr>
      </w:pPr>
      <w:r>
        <w:rPr>
          <w:color w:val="auto"/>
        </w:rPr>
        <w:t>Izpildītājs Darbus veic objektos, saskaņā ar Pasūtītāja iesniegto objektu sarakstu, turpmāk tekstā – Objekts.</w:t>
      </w:r>
    </w:p>
    <w:p>
      <w:pPr>
        <w:numPr>
          <w:ilvl w:val="0"/>
          <w:numId w:val="36"/>
        </w:numPr>
        <w:suppressAutoHyphens/>
        <w:overflowPunct w:val="0"/>
        <w:autoSpaceDE w:val="0"/>
        <w:ind w:left="425" w:leftChars="0" w:hanging="425" w:firstLineChars="0"/>
        <w:contextualSpacing/>
        <w:jc w:val="both"/>
        <w:textAlignment w:val="baseline"/>
        <w:rPr>
          <w:color w:val="auto"/>
        </w:rPr>
      </w:pPr>
      <w:r>
        <w:rPr>
          <w:color w:val="auto"/>
        </w:rPr>
        <w:t>Izpildītājs Darbus uzņemas veikt Līgumā un Latvijas Republikā normatīvajos aktos noteiktajā kārtībā, Pasūtītāja noteiktajos termiņos un pienācīgā kvalitātē saskaņā ar finanšu piedāvājumu (</w:t>
      </w:r>
      <w:r>
        <w:rPr>
          <w:rFonts w:hint="default"/>
          <w:color w:val="auto"/>
        </w:rPr>
        <w:t>2</w:t>
      </w:r>
      <w:r>
        <w:rPr>
          <w:color w:val="auto"/>
        </w:rPr>
        <w:t>.pielikums), darbu izpildes laika grafiku</w:t>
      </w:r>
      <w:r>
        <w:rPr>
          <w:rFonts w:hint="default"/>
          <w:color w:val="auto"/>
        </w:rPr>
        <w:t xml:space="preserve"> </w:t>
      </w:r>
      <w:r>
        <w:rPr>
          <w:color w:val="auto"/>
        </w:rPr>
        <w:t xml:space="preserve"> (</w:t>
      </w:r>
      <w:r>
        <w:rPr>
          <w:rFonts w:hint="default"/>
          <w:color w:val="auto"/>
        </w:rPr>
        <w:t>3</w:t>
      </w:r>
      <w:r>
        <w:rPr>
          <w:color w:val="auto"/>
        </w:rPr>
        <w:t>.pielikums), tehnisko piedāvājumu, tai skaitā tehnisko specifikāciju (</w:t>
      </w:r>
      <w:r>
        <w:rPr>
          <w:rFonts w:hint="default"/>
          <w:color w:val="auto"/>
        </w:rPr>
        <w:t>4</w:t>
      </w:r>
      <w:r>
        <w:rPr>
          <w:color w:val="auto"/>
        </w:rPr>
        <w:t>.pielikums), kas uzskatāmi par Līguma neatņemamām sastāvdaļām.</w:t>
      </w:r>
    </w:p>
    <w:p>
      <w:pPr>
        <w:numPr>
          <w:ilvl w:val="0"/>
          <w:numId w:val="36"/>
        </w:numPr>
        <w:suppressAutoHyphens/>
        <w:overflowPunct w:val="0"/>
        <w:autoSpaceDE w:val="0"/>
        <w:ind w:left="425" w:leftChars="0" w:hanging="425" w:firstLineChars="0"/>
        <w:contextualSpacing/>
        <w:jc w:val="both"/>
        <w:textAlignment w:val="baseline"/>
        <w:rPr>
          <w:color w:val="auto"/>
        </w:rPr>
      </w:pPr>
      <w:r>
        <w:rPr>
          <w:color w:val="auto"/>
        </w:rPr>
        <w:t>Izpildītājs  apliecina, ka ir pienācīgi iepazinies ar veicamajiem Darbiem, tajā skaitā ar tajā ietvertajiem risinājumiem, Darbu apjomiem, prasībām, kā arī ar Objektu, un atsakās saistībā ar to izebkāda satura iebildumus vai pretenzijas.</w:t>
      </w:r>
    </w:p>
    <w:p>
      <w:pPr>
        <w:tabs>
          <w:tab w:val="left" w:pos="426"/>
        </w:tabs>
        <w:suppressAutoHyphens/>
        <w:ind w:left="567" w:hanging="567"/>
        <w:jc w:val="both"/>
        <w:rPr>
          <w:color w:val="auto"/>
        </w:rPr>
      </w:pPr>
    </w:p>
    <w:p>
      <w:pPr>
        <w:numPr>
          <w:ilvl w:val="0"/>
          <w:numId w:val="35"/>
        </w:numPr>
        <w:suppressAutoHyphens/>
        <w:overflowPunct w:val="0"/>
        <w:autoSpaceDE w:val="0"/>
        <w:ind w:left="720" w:right="-416"/>
        <w:contextualSpacing/>
        <w:jc w:val="center"/>
        <w:textAlignment w:val="baseline"/>
        <w:rPr>
          <w:color w:val="auto"/>
          <w:lang w:eastAsia="zh-CN"/>
        </w:rPr>
      </w:pPr>
      <w:r>
        <w:rPr>
          <w:b/>
          <w:color w:val="auto"/>
          <w:lang w:eastAsia="zh-CN"/>
        </w:rPr>
        <w:t>Līgumcena un norēķinu kārtība</w:t>
      </w:r>
    </w:p>
    <w:p>
      <w:pPr>
        <w:numPr>
          <w:ilvl w:val="0"/>
          <w:numId w:val="37"/>
        </w:numPr>
        <w:tabs>
          <w:tab w:val="left" w:pos="-426"/>
          <w:tab w:val="left" w:pos="795"/>
        </w:tabs>
        <w:ind w:left="425" w:leftChars="0" w:hanging="425" w:firstLineChars="0"/>
        <w:jc w:val="both"/>
        <w:rPr>
          <w:color w:val="auto"/>
        </w:rPr>
      </w:pPr>
      <w:r>
        <w:rPr>
          <w:color w:val="auto"/>
        </w:rPr>
        <w:t xml:space="preserve">Par Darbu izpildi Pasūtītājs samaksā Izpildītājam samaksu </w:t>
      </w:r>
      <w:r>
        <w:rPr>
          <w:b/>
          <w:bCs/>
          <w:color w:val="auto"/>
        </w:rPr>
        <w:t>EUR ____</w:t>
      </w:r>
      <w:r>
        <w:rPr>
          <w:bCs/>
          <w:iCs/>
          <w:color w:val="auto"/>
        </w:rPr>
        <w:t xml:space="preserve">(_____ </w:t>
      </w:r>
      <w:r>
        <w:rPr>
          <w:bCs/>
          <w:i/>
          <w:iCs/>
          <w:color w:val="auto"/>
        </w:rPr>
        <w:t>euro</w:t>
      </w:r>
      <w:r>
        <w:rPr>
          <w:bCs/>
          <w:iCs/>
          <w:color w:val="auto"/>
        </w:rPr>
        <w:t xml:space="preserve"> ____ centi)</w:t>
      </w:r>
      <w:r>
        <w:rPr>
          <w:bCs/>
          <w:color w:val="auto"/>
        </w:rPr>
        <w:t xml:space="preserve">, </w:t>
      </w:r>
      <w:r>
        <w:rPr>
          <w:color w:val="auto"/>
        </w:rPr>
        <w:t xml:space="preserve">bez pievienotās vērtības nodokļa (PVN), </w:t>
      </w:r>
      <w:r>
        <w:rPr>
          <w:bCs/>
          <w:color w:val="auto"/>
        </w:rPr>
        <w:t xml:space="preserve">turpmāk tekstā </w:t>
      </w:r>
      <w:r>
        <w:rPr>
          <w:b/>
          <w:color w:val="auto"/>
        </w:rPr>
        <w:t>Līgumcena</w:t>
      </w:r>
      <w:r>
        <w:rPr>
          <w:color w:val="auto"/>
        </w:rPr>
        <w:t xml:space="preserve">. Izpildītājam nav tiesību prasīt Līgumcenas paaugstināšanu inflācijas u.c. apstākļu dēļ. </w:t>
      </w:r>
    </w:p>
    <w:p>
      <w:pPr>
        <w:numPr>
          <w:ilvl w:val="0"/>
          <w:numId w:val="37"/>
        </w:numPr>
        <w:tabs>
          <w:tab w:val="left" w:pos="-426"/>
          <w:tab w:val="left" w:pos="795"/>
        </w:tabs>
        <w:ind w:left="425" w:leftChars="0" w:hanging="425" w:firstLineChars="0"/>
        <w:jc w:val="both"/>
        <w:rPr>
          <w:color w:val="auto"/>
        </w:rPr>
      </w:pPr>
      <w:r>
        <w:rPr>
          <w:color w:val="auto"/>
        </w:rPr>
        <w:t>Pakalpojuma cenā ietilpst visi Izpildītāja izdevumi, kas saistīti ar Pakalpojuma izpildi, speciālistu atalgojums, kā arī citas izmaksas un izdevumi, kas Izpildītājam var rasties Līguma darbības laikā</w:t>
      </w:r>
    </w:p>
    <w:p>
      <w:pPr>
        <w:numPr>
          <w:ilvl w:val="0"/>
          <w:numId w:val="37"/>
        </w:numPr>
        <w:tabs>
          <w:tab w:val="left" w:pos="-426"/>
          <w:tab w:val="left" w:pos="795"/>
        </w:tabs>
        <w:ind w:left="425" w:leftChars="0" w:hanging="425" w:firstLineChars="0"/>
        <w:jc w:val="both"/>
        <w:rPr>
          <w:color w:val="auto"/>
        </w:rPr>
      </w:pPr>
      <w:r>
        <w:rPr>
          <w:color w:val="auto"/>
        </w:rPr>
        <w:t xml:space="preserve">Beidzamo maksājumu Pasūtītājs samaksā 15 (piecpadsmit) darba dienu laikā pēc būvuzrauga rakstveidā akceptētas atskaites (Forma Nr.2) par kvalitatīvi un termiņā izpildītajiem Darbiem saņemšanas un pieņemšanas - nodošanas akta parakstīšanas par visu Līgumā minēto Darbu izpildi, kā arī pēc Izpildītāja rēķina saņemšanas. </w:t>
      </w:r>
    </w:p>
    <w:p>
      <w:pPr>
        <w:suppressAutoHyphens/>
        <w:overflowPunct w:val="0"/>
        <w:autoSpaceDE w:val="0"/>
        <w:ind w:left="360" w:right="-416"/>
        <w:contextualSpacing/>
        <w:textAlignment w:val="baseline"/>
        <w:rPr>
          <w:color w:val="auto"/>
          <w:lang w:eastAsia="zh-CN"/>
        </w:rPr>
      </w:pPr>
    </w:p>
    <w:p>
      <w:pPr>
        <w:numPr>
          <w:ilvl w:val="0"/>
          <w:numId w:val="35"/>
        </w:numPr>
        <w:suppressAutoHyphens/>
        <w:overflowPunct w:val="0"/>
        <w:autoSpaceDE w:val="0"/>
        <w:ind w:left="720"/>
        <w:contextualSpacing/>
        <w:jc w:val="center"/>
        <w:textAlignment w:val="baseline"/>
        <w:rPr>
          <w:color w:val="auto"/>
          <w:lang w:eastAsia="zh-CN"/>
        </w:rPr>
      </w:pPr>
      <w:r>
        <w:rPr>
          <w:b/>
          <w:color w:val="auto"/>
          <w:lang w:eastAsia="zh-CN"/>
        </w:rPr>
        <w:t>Darbu izpildes termiņi</w:t>
      </w:r>
    </w:p>
    <w:p>
      <w:pPr>
        <w:numPr>
          <w:ilvl w:val="0"/>
          <w:numId w:val="38"/>
        </w:numPr>
        <w:suppressAutoHyphens/>
        <w:overflowPunct w:val="0"/>
        <w:autoSpaceDE w:val="0"/>
        <w:ind w:left="425" w:leftChars="0" w:hanging="425" w:firstLineChars="0"/>
        <w:contextualSpacing/>
        <w:jc w:val="both"/>
        <w:textAlignment w:val="baseline"/>
        <w:rPr>
          <w:color w:val="auto"/>
          <w:lang w:eastAsia="zh-CN"/>
        </w:rPr>
      </w:pPr>
      <w:r>
        <w:rPr>
          <w:color w:val="auto"/>
          <w:lang w:eastAsia="zh-CN"/>
        </w:rPr>
        <w:t>Līgumā noteikto Darbu izpildes sākuma termiņš ir</w:t>
      </w:r>
      <w:r>
        <w:rPr>
          <w:b/>
          <w:color w:val="auto"/>
          <w:lang w:eastAsia="zh-CN"/>
        </w:rPr>
        <w:t xml:space="preserve"> 20</w:t>
      </w:r>
      <w:r>
        <w:rPr>
          <w:rFonts w:hint="default"/>
          <w:b/>
          <w:color w:val="auto"/>
          <w:lang w:eastAsia="zh-CN"/>
        </w:rPr>
        <w:t>20</w:t>
      </w:r>
      <w:r>
        <w:rPr>
          <w:b/>
          <w:color w:val="auto"/>
          <w:lang w:eastAsia="zh-CN"/>
        </w:rPr>
        <w:t xml:space="preserve">.gada </w:t>
      </w:r>
      <w:r>
        <w:rPr>
          <w:rFonts w:hint="default"/>
          <w:b/>
          <w:color w:val="auto"/>
          <w:lang w:eastAsia="zh-CN"/>
        </w:rPr>
        <w:t>30</w:t>
      </w:r>
      <w:r>
        <w:rPr>
          <w:b/>
          <w:color w:val="auto"/>
          <w:lang w:eastAsia="zh-CN"/>
        </w:rPr>
        <w:t>.</w:t>
      </w:r>
      <w:r>
        <w:rPr>
          <w:rFonts w:hint="default"/>
          <w:b/>
          <w:color w:val="auto"/>
          <w:lang w:eastAsia="zh-CN"/>
        </w:rPr>
        <w:t>novembris</w:t>
      </w:r>
      <w:r>
        <w:rPr>
          <w:color w:val="auto"/>
          <w:lang w:eastAsia="zh-CN"/>
        </w:rPr>
        <w:t>.</w:t>
      </w:r>
    </w:p>
    <w:p>
      <w:pPr>
        <w:numPr>
          <w:ilvl w:val="0"/>
          <w:numId w:val="38"/>
        </w:numPr>
        <w:suppressAutoHyphens/>
        <w:overflowPunct w:val="0"/>
        <w:autoSpaceDE w:val="0"/>
        <w:ind w:left="425" w:leftChars="0" w:hanging="425" w:firstLineChars="0"/>
        <w:contextualSpacing/>
        <w:jc w:val="both"/>
        <w:textAlignment w:val="baseline"/>
        <w:rPr>
          <w:color w:val="auto"/>
        </w:rPr>
      </w:pPr>
      <w:r>
        <w:rPr>
          <w:color w:val="auto"/>
        </w:rPr>
        <w:t xml:space="preserve">Darbi tiek veikti saskaņā ar Darbu izpildes laika grafiku: </w:t>
      </w:r>
      <w:r>
        <w:rPr>
          <w:b w:val="0"/>
          <w:bCs w:val="0"/>
          <w:color w:val="auto"/>
        </w:rPr>
        <w:t>Mērījumi daudzdzīvokļu dzīvojamo māju pašvaldības dzīvojamās telpās</w:t>
      </w:r>
      <w:r>
        <w:rPr>
          <w:rFonts w:hint="default"/>
          <w:b w:val="0"/>
          <w:bCs w:val="0"/>
          <w:color w:val="auto"/>
        </w:rPr>
        <w:t xml:space="preserve"> jāveic </w:t>
      </w:r>
      <w:r>
        <w:rPr>
          <w:b w:val="0"/>
          <w:bCs w:val="0"/>
          <w:color w:val="auto"/>
        </w:rPr>
        <w:t>līdz 20</w:t>
      </w:r>
      <w:r>
        <w:rPr>
          <w:rFonts w:hint="default"/>
          <w:b w:val="0"/>
          <w:bCs w:val="0"/>
          <w:color w:val="auto"/>
        </w:rPr>
        <w:t>20</w:t>
      </w:r>
      <w:r>
        <w:rPr>
          <w:b w:val="0"/>
          <w:bCs w:val="0"/>
          <w:color w:val="auto"/>
        </w:rPr>
        <w:t>.gada 30.novembrim.</w:t>
      </w:r>
    </w:p>
    <w:p>
      <w:pPr>
        <w:numPr>
          <w:ilvl w:val="0"/>
          <w:numId w:val="38"/>
        </w:numPr>
        <w:suppressAutoHyphens/>
        <w:overflowPunct w:val="0"/>
        <w:autoSpaceDE w:val="0"/>
        <w:ind w:left="425" w:leftChars="0" w:hanging="425" w:firstLineChars="0"/>
        <w:contextualSpacing/>
        <w:jc w:val="both"/>
        <w:textAlignment w:val="baseline"/>
        <w:rPr>
          <w:color w:val="auto"/>
        </w:rPr>
      </w:pPr>
      <w:r>
        <w:rPr>
          <w:color w:val="auto"/>
        </w:rPr>
        <w:t>Izpildītājs apņemas nekavējoties, bet ne vēlāk kā 3 (trīs) darba dienu laikā ziņot Pasūtītājam par visiem apstākļiem un/vai šķēršļiem, kuri kavē Darbu izpildi Darbu izpildes laika grafikā noteiktajos termiņos.</w:t>
      </w:r>
    </w:p>
    <w:p>
      <w:pPr>
        <w:numPr>
          <w:ilvl w:val="0"/>
          <w:numId w:val="38"/>
        </w:numPr>
        <w:suppressAutoHyphens/>
        <w:overflowPunct w:val="0"/>
        <w:autoSpaceDE w:val="0"/>
        <w:ind w:left="425" w:leftChars="0" w:hanging="425" w:firstLineChars="0"/>
        <w:contextualSpacing/>
        <w:jc w:val="both"/>
        <w:textAlignment w:val="baseline"/>
        <w:rPr>
          <w:color w:val="auto"/>
        </w:rPr>
      </w:pPr>
      <w:r>
        <w:rPr>
          <w:color w:val="auto"/>
        </w:rPr>
        <w:t>Izpildītājam nav tiesības uz Darbu izpildes termiņa pagarinājumu tādu iemeslu dēļ, kuri tam bija jāņem vērā vai arī pie pienācīgas rūpības nevarēja būt nezināmi, noslēdzot šo Līgumu. Tas pats attiecas arī uz apstākļiem, kuru sekas Izpildītājs būtu varējis sagaidīt vai novērst.</w:t>
      </w:r>
    </w:p>
    <w:p>
      <w:pPr>
        <w:numPr>
          <w:ilvl w:val="0"/>
          <w:numId w:val="38"/>
        </w:numPr>
        <w:suppressAutoHyphens/>
        <w:overflowPunct w:val="0"/>
        <w:autoSpaceDE w:val="0"/>
        <w:ind w:left="425" w:leftChars="0" w:hanging="425" w:firstLineChars="0"/>
        <w:contextualSpacing/>
        <w:jc w:val="both"/>
        <w:textAlignment w:val="baseline"/>
        <w:rPr>
          <w:color w:val="auto"/>
        </w:rPr>
      </w:pPr>
      <w:r>
        <w:rPr>
          <w:color w:val="auto"/>
        </w:rPr>
        <w:t>Ja Izpildītājs vēlas Darbu izpildes termiņa pagarinājumu, tas par to rakstiski ziņo Pasūtītājam. Šāds paziņojums nosūtāms nekavējoties pēc tam, kad Izpildītājs uzzinājis par esošiem vai vēl sagaidāmiem apstākļiem, kas izraisa Darbu izpildes kavējumu. Ja šāds paziņojums nekavējoties, tas ir ne vēlāk kā 3 (trīs) darba dienu laikā netiek nosūtīts, tiesības pieprasīt termiņa pagarinājumu tiek zaudētas.</w:t>
      </w:r>
    </w:p>
    <w:p>
      <w:pPr>
        <w:numPr>
          <w:ilvl w:val="0"/>
          <w:numId w:val="38"/>
        </w:numPr>
        <w:suppressAutoHyphens/>
        <w:overflowPunct w:val="0"/>
        <w:autoSpaceDE w:val="0"/>
        <w:ind w:left="425" w:leftChars="0" w:hanging="425" w:firstLineChars="0"/>
        <w:contextualSpacing/>
        <w:jc w:val="both"/>
        <w:textAlignment w:val="baseline"/>
        <w:rPr>
          <w:color w:val="auto"/>
        </w:rPr>
      </w:pPr>
      <w:r>
        <w:rPr>
          <w:color w:val="auto"/>
        </w:rPr>
        <w:t>Pasūtītājam ir pienākums sniegt Izpildītājam atbildi uz saņemto paziņojumu, 3 (trīs) darba dienu laikā no paziņojuma saņemšanas dienas.</w:t>
      </w:r>
    </w:p>
    <w:p>
      <w:pPr>
        <w:suppressAutoHyphens/>
        <w:overflowPunct w:val="0"/>
        <w:autoSpaceDE w:val="0"/>
        <w:ind w:right="-416"/>
        <w:contextualSpacing/>
        <w:jc w:val="both"/>
        <w:textAlignment w:val="baseline"/>
        <w:rPr>
          <w:color w:val="auto"/>
          <w:lang w:eastAsia="zh-CN"/>
        </w:rPr>
      </w:pPr>
    </w:p>
    <w:p>
      <w:pPr>
        <w:numPr>
          <w:ilvl w:val="0"/>
          <w:numId w:val="35"/>
        </w:numPr>
        <w:suppressAutoHyphens/>
        <w:overflowPunct w:val="0"/>
        <w:autoSpaceDE w:val="0"/>
        <w:ind w:left="720" w:right="-416"/>
        <w:contextualSpacing/>
        <w:jc w:val="center"/>
        <w:textAlignment w:val="baseline"/>
        <w:rPr>
          <w:b/>
          <w:color w:val="auto"/>
          <w:lang w:eastAsia="zh-CN"/>
        </w:rPr>
      </w:pPr>
      <w:r>
        <w:rPr>
          <w:b/>
          <w:color w:val="auto"/>
          <w:lang w:eastAsia="zh-CN"/>
        </w:rPr>
        <w:t>Pasūtītāja tiesības un pienākumi</w:t>
      </w:r>
    </w:p>
    <w:p>
      <w:pPr>
        <w:numPr>
          <w:ilvl w:val="0"/>
          <w:numId w:val="39"/>
        </w:numPr>
        <w:ind w:left="425" w:leftChars="0" w:hanging="425" w:firstLineChars="0"/>
        <w:jc w:val="both"/>
        <w:rPr>
          <w:color w:val="auto"/>
        </w:rPr>
      </w:pPr>
      <w:r>
        <w:rPr>
          <w:bCs/>
          <w:color w:val="auto"/>
        </w:rPr>
        <w:t>Pasūtītāja pienākumi:</w:t>
      </w:r>
    </w:p>
    <w:p>
      <w:pPr>
        <w:numPr>
          <w:ilvl w:val="0"/>
          <w:numId w:val="40"/>
        </w:numPr>
        <w:ind w:left="425" w:leftChars="0" w:firstLine="55" w:firstLineChars="0"/>
        <w:jc w:val="both"/>
        <w:rPr>
          <w:b w:val="0"/>
          <w:bCs w:val="0"/>
          <w:color w:val="auto"/>
        </w:rPr>
      </w:pPr>
      <w:r>
        <w:rPr>
          <w:b w:val="0"/>
          <w:bCs w:val="0"/>
          <w:color w:val="auto"/>
        </w:rPr>
        <w:t>sniegt Izpildītājam nepieciešamās un Pasūtītāja rīcībā esošās ziņas par Objektiem, kas nepieciešamas Pakalpojumu kvalitatīvai sniegšanai;</w:t>
      </w:r>
    </w:p>
    <w:p>
      <w:pPr>
        <w:numPr>
          <w:ilvl w:val="0"/>
          <w:numId w:val="40"/>
        </w:numPr>
        <w:ind w:left="425" w:leftChars="0" w:firstLine="55" w:firstLineChars="0"/>
        <w:jc w:val="both"/>
        <w:rPr>
          <w:b w:val="0"/>
          <w:bCs w:val="0"/>
          <w:color w:val="auto"/>
        </w:rPr>
      </w:pPr>
      <w:r>
        <w:rPr>
          <w:b w:val="0"/>
          <w:bCs w:val="0"/>
          <w:color w:val="auto"/>
        </w:rPr>
        <w:t>ja Pasūtītājam nepieciešams saņemt Pakalpojumu Objektos, sagatavot Izpildītājam informāciju par Objektiem un nosūtīt Izpildītājam;</w:t>
      </w:r>
    </w:p>
    <w:p>
      <w:pPr>
        <w:numPr>
          <w:ilvl w:val="0"/>
          <w:numId w:val="40"/>
        </w:numPr>
        <w:ind w:left="425" w:leftChars="0" w:firstLine="55" w:firstLineChars="0"/>
        <w:jc w:val="both"/>
        <w:rPr>
          <w:bCs/>
          <w:color w:val="auto"/>
        </w:rPr>
      </w:pPr>
      <w:r>
        <w:rPr>
          <w:b w:val="0"/>
          <w:bCs w:val="0"/>
          <w:color w:val="auto"/>
        </w:rPr>
        <w:t>nodrošināt Izpildītāja darbinieku iekļūšanu Objektos, tajā skaitā palīgtelpās Pakalpojumu sniegšanai;</w:t>
      </w:r>
    </w:p>
    <w:p>
      <w:pPr>
        <w:numPr>
          <w:ilvl w:val="0"/>
          <w:numId w:val="40"/>
        </w:numPr>
        <w:ind w:left="425" w:leftChars="0" w:firstLine="55" w:firstLineChars="0"/>
        <w:jc w:val="both"/>
        <w:rPr>
          <w:bCs/>
          <w:color w:val="auto"/>
        </w:rPr>
      </w:pPr>
      <w:r>
        <w:rPr>
          <w:b w:val="0"/>
          <w:bCs w:val="0"/>
          <w:color w:val="auto"/>
        </w:rPr>
        <w:t>5 (piecu) darba dienu laikā izskatīt Izpildītāja iesniegtos izpildes aktus un Pakalpojumu n</w:t>
      </w:r>
      <w:r>
        <w:rPr>
          <w:bCs/>
          <w:color w:val="auto"/>
        </w:rPr>
        <w:t>odošanas – pieņemšanas aktus</w:t>
      </w:r>
      <w:r>
        <w:rPr>
          <w:color w:val="auto"/>
        </w:rPr>
        <w:t xml:space="preserve"> un </w:t>
      </w:r>
      <w:r>
        <w:rPr>
          <w:bCs/>
          <w:color w:val="auto"/>
        </w:rPr>
        <w:t>parakstīt tos vai arī minētajā termiņā sniegt Izpildītājam pamatotas pretenzijas par sniegtajiem Pakalpojumiem, pretenzijā norādot Pakalpojumu trūkumu novēršanas termiņu;</w:t>
      </w:r>
    </w:p>
    <w:p>
      <w:pPr>
        <w:numPr>
          <w:ilvl w:val="0"/>
          <w:numId w:val="40"/>
        </w:numPr>
        <w:ind w:left="425" w:leftChars="0" w:firstLine="55" w:firstLineChars="0"/>
        <w:jc w:val="both"/>
        <w:rPr>
          <w:bCs/>
          <w:color w:val="auto"/>
        </w:rPr>
      </w:pPr>
      <w:r>
        <w:rPr>
          <w:bCs/>
          <w:color w:val="auto"/>
        </w:rPr>
        <w:t>veikt samaksu saskaņā ar Līgumu.</w:t>
      </w:r>
    </w:p>
    <w:p>
      <w:pPr>
        <w:numPr>
          <w:ilvl w:val="0"/>
          <w:numId w:val="41"/>
        </w:numPr>
        <w:ind w:left="425" w:leftChars="0" w:hanging="425" w:firstLineChars="0"/>
        <w:jc w:val="both"/>
        <w:rPr>
          <w:bCs/>
          <w:color w:val="auto"/>
        </w:rPr>
      </w:pPr>
      <w:r>
        <w:rPr>
          <w:bCs/>
          <w:color w:val="auto"/>
        </w:rPr>
        <w:t>Pasūtītāja tiesības:</w:t>
      </w:r>
    </w:p>
    <w:p>
      <w:pPr>
        <w:pStyle w:val="8"/>
        <w:numPr>
          <w:ilvl w:val="0"/>
          <w:numId w:val="42"/>
        </w:numPr>
        <w:tabs>
          <w:tab w:val="clear" w:pos="425"/>
        </w:tabs>
        <w:ind w:left="424" w:leftChars="177" w:firstLine="52" w:firstLineChars="22"/>
        <w:jc w:val="both"/>
        <w:rPr>
          <w:bCs/>
          <w:color w:val="auto"/>
        </w:rPr>
      </w:pPr>
      <w:r>
        <w:rPr>
          <w:bCs/>
          <w:color w:val="auto"/>
        </w:rPr>
        <w:t>neuzņemies atbildību par Izpildītāja inventāru, tehniku un materiāliem;</w:t>
      </w:r>
    </w:p>
    <w:p>
      <w:pPr>
        <w:pStyle w:val="8"/>
        <w:numPr>
          <w:ilvl w:val="0"/>
          <w:numId w:val="42"/>
        </w:numPr>
        <w:tabs>
          <w:tab w:val="clear" w:pos="425"/>
        </w:tabs>
        <w:ind w:left="424" w:leftChars="177" w:firstLine="52" w:firstLineChars="22"/>
        <w:jc w:val="both"/>
        <w:rPr>
          <w:bCs/>
          <w:color w:val="auto"/>
        </w:rPr>
      </w:pPr>
      <w:r>
        <w:rPr>
          <w:bCs/>
          <w:color w:val="auto"/>
        </w:rPr>
        <w:t>iesniegt Izpildītājam pretenzijas par Pakalpojumu kvalitāti, par nesniegtajiem vai neatbilstoši Līguma, tā pielikumu un/vai normatīvo aktu nosacījumiem sniegtajiem Pakalpojumiem, kā arī par citiem Līguma un normatīvo aktu nosacījumu neievērošanas gadījumiem, norādot termiņu neatbilstību un pārkāpumu novēršanai;</w:t>
      </w:r>
    </w:p>
    <w:p>
      <w:pPr>
        <w:pStyle w:val="8"/>
        <w:numPr>
          <w:ilvl w:val="0"/>
          <w:numId w:val="42"/>
        </w:numPr>
        <w:tabs>
          <w:tab w:val="clear" w:pos="425"/>
        </w:tabs>
        <w:ind w:left="424" w:leftChars="177" w:firstLine="52" w:firstLineChars="22"/>
        <w:jc w:val="both"/>
        <w:rPr>
          <w:bCs/>
          <w:color w:val="auto"/>
          <w:u w:val="single"/>
        </w:rPr>
      </w:pPr>
      <w:r>
        <w:rPr>
          <w:bCs/>
          <w:color w:val="auto"/>
        </w:rPr>
        <w:t>samazināt par Pakalpojumu atbilstoši Līguma noteikumiem maksājamo summu, ja Pakalpojumi un tā ietvaros veicamie darbi ir veikti nekvalitatīvi, nepilnīgi neievērojot Līguma un tā pielikumu nosacījumus un termiņus;</w:t>
      </w:r>
    </w:p>
    <w:p>
      <w:pPr>
        <w:pStyle w:val="8"/>
        <w:numPr>
          <w:ilvl w:val="0"/>
          <w:numId w:val="42"/>
        </w:numPr>
        <w:tabs>
          <w:tab w:val="clear" w:pos="425"/>
        </w:tabs>
        <w:ind w:left="424" w:leftChars="177" w:firstLine="52" w:firstLineChars="22"/>
        <w:jc w:val="both"/>
        <w:rPr>
          <w:bCs/>
          <w:color w:val="auto"/>
          <w:u w:val="single"/>
        </w:rPr>
      </w:pPr>
      <w:r>
        <w:rPr>
          <w:bCs/>
          <w:color w:val="auto"/>
        </w:rPr>
        <w:t>Līguma darbības laikā vērsties pie apdrošināšanas sabiedrības ar lūgumu sniegt ziņas par atlikušo Izpildītāja civiltiesiskās atbildības limitu un gadījumā, ja tas ir mazākas par Līguma 6.1.apakšpunktā noteikto, pieprasīt Izpildītājam limita atjaunošanu 5 (piecu) darba dienu laikā;</w:t>
      </w:r>
    </w:p>
    <w:p>
      <w:pPr>
        <w:pStyle w:val="8"/>
        <w:numPr>
          <w:ilvl w:val="0"/>
          <w:numId w:val="42"/>
        </w:numPr>
        <w:tabs>
          <w:tab w:val="clear" w:pos="425"/>
        </w:tabs>
        <w:ind w:left="424" w:leftChars="177" w:firstLine="52" w:firstLineChars="22"/>
        <w:jc w:val="both"/>
        <w:rPr>
          <w:bCs/>
          <w:color w:val="auto"/>
          <w:u w:val="single"/>
        </w:rPr>
      </w:pPr>
      <w:r>
        <w:rPr>
          <w:color w:val="auto"/>
        </w:rPr>
        <w:t>gadījumā, ja Izpildītājs neveic kādus Pakalpojumu sastāvā ietilpstošus darbus un/vai neievēro noteiktos termiņus, pieaicināt minēto darbu veikšanai trešās personas uz Izpildītāja rēķina;</w:t>
      </w:r>
    </w:p>
    <w:p>
      <w:pPr>
        <w:pStyle w:val="8"/>
        <w:numPr>
          <w:ilvl w:val="0"/>
          <w:numId w:val="42"/>
        </w:numPr>
        <w:tabs>
          <w:tab w:val="clear" w:pos="425"/>
        </w:tabs>
        <w:ind w:left="424" w:leftChars="177" w:firstLine="52" w:firstLineChars="22"/>
        <w:jc w:val="both"/>
        <w:rPr>
          <w:bCs/>
          <w:iCs/>
          <w:color w:val="auto"/>
        </w:rPr>
      </w:pPr>
      <w:r>
        <w:rPr>
          <w:color w:val="auto"/>
        </w:rPr>
        <w:t xml:space="preserve">neparakstīt izpildes aktus un </w:t>
      </w:r>
      <w:r>
        <w:rPr>
          <w:bCs/>
          <w:color w:val="auto"/>
        </w:rPr>
        <w:t xml:space="preserve">Pakalpojumu nodošanas – pieņemšanas aktu, kā arī nemaksāt attiecīgo Līgumā noteikto maksu, </w:t>
      </w:r>
      <w:r>
        <w:rPr>
          <w:color w:val="auto"/>
        </w:rPr>
        <w:t xml:space="preserve">kamēr kādi no Tehniskajā specifikācijā minētajiem </w:t>
      </w:r>
      <w:r>
        <w:rPr>
          <w:bCs/>
          <w:color w:val="auto"/>
        </w:rPr>
        <w:t>darbiem</w:t>
      </w:r>
      <w:r>
        <w:rPr>
          <w:color w:val="auto"/>
        </w:rPr>
        <w:t xml:space="preserve"> </w:t>
      </w:r>
      <w:r>
        <w:rPr>
          <w:bCs/>
          <w:color w:val="auto"/>
        </w:rPr>
        <w:t>Objektos</w:t>
      </w:r>
      <w:r>
        <w:rPr>
          <w:color w:val="auto"/>
        </w:rPr>
        <w:t xml:space="preserve"> ir veikti daļēji vai nav veikti vispār;</w:t>
      </w:r>
    </w:p>
    <w:p>
      <w:pPr>
        <w:pStyle w:val="8"/>
        <w:numPr>
          <w:ilvl w:val="0"/>
          <w:numId w:val="42"/>
        </w:numPr>
        <w:tabs>
          <w:tab w:val="clear" w:pos="425"/>
        </w:tabs>
        <w:ind w:left="424" w:leftChars="177" w:firstLine="52" w:firstLineChars="22"/>
        <w:jc w:val="both"/>
        <w:rPr>
          <w:bCs/>
          <w:iCs/>
          <w:color w:val="auto"/>
        </w:rPr>
      </w:pPr>
      <w:r>
        <w:rPr>
          <w:color w:val="auto"/>
        </w:rPr>
        <w:t>noslēdzot vienošanos pie Līguma, Līguma darbības laikā grozīt Tehniskajā specifikācijā pievienoto Objektu sarakstu, tam pievienojot jaunus Objektus vai arī Objektus no tā izslēdzot. Pievienojot papildu Objektus, to Pakalpojuma cena tiek noteikta, vadoties pēc Finanšu piedāvājumā iekļautu analogu Objektu cenām.</w:t>
      </w:r>
    </w:p>
    <w:p>
      <w:pPr>
        <w:numPr>
          <w:ilvl w:val="0"/>
          <w:numId w:val="43"/>
        </w:numPr>
        <w:tabs>
          <w:tab w:val="left" w:pos="0"/>
        </w:tabs>
        <w:suppressAutoHyphens/>
        <w:overflowPunct w:val="0"/>
        <w:autoSpaceDE w:val="0"/>
        <w:ind w:left="425" w:leftChars="0" w:right="-416" w:hanging="425" w:firstLineChars="0"/>
        <w:contextualSpacing/>
        <w:jc w:val="center"/>
        <w:textAlignment w:val="baseline"/>
        <w:rPr>
          <w:b/>
          <w:color w:val="auto"/>
          <w:lang w:eastAsia="zh-CN"/>
        </w:rPr>
      </w:pPr>
      <w:r>
        <w:rPr>
          <w:b/>
          <w:color w:val="auto"/>
          <w:lang w:eastAsia="zh-CN"/>
        </w:rPr>
        <w:t>Izpildītāja tiesības un pienākumi</w:t>
      </w:r>
    </w:p>
    <w:p>
      <w:pPr>
        <w:numPr>
          <w:ilvl w:val="0"/>
          <w:numId w:val="44"/>
        </w:numPr>
        <w:tabs>
          <w:tab w:val="left" w:pos="2520"/>
        </w:tabs>
        <w:ind w:left="425" w:leftChars="0" w:hanging="425" w:firstLineChars="0"/>
        <w:jc w:val="both"/>
        <w:rPr>
          <w:bCs/>
          <w:color w:val="auto"/>
        </w:rPr>
      </w:pPr>
      <w:r>
        <w:rPr>
          <w:color w:val="auto"/>
        </w:rPr>
        <w:t>Izpildītāja pienākumi</w:t>
      </w:r>
      <w:r>
        <w:rPr>
          <w:iCs/>
          <w:color w:val="auto"/>
        </w:rPr>
        <w:t>:</w:t>
      </w:r>
    </w:p>
    <w:p>
      <w:pPr>
        <w:numPr>
          <w:ilvl w:val="0"/>
          <w:numId w:val="45"/>
        </w:numPr>
        <w:ind w:left="425" w:leftChars="0" w:firstLine="55" w:firstLineChars="0"/>
        <w:jc w:val="both"/>
        <w:rPr>
          <w:color w:val="auto"/>
        </w:rPr>
      </w:pPr>
      <w:r>
        <w:rPr>
          <w:color w:val="auto"/>
        </w:rPr>
        <w:t>___ (____) darba dienu laikā pēc Līguma 4.1.2.punktā informācijas saņemšanas uzsākt Pakalpojumu izpildi</w:t>
      </w:r>
      <w:r>
        <w:rPr>
          <w:rFonts w:hint="default"/>
          <w:color w:val="auto"/>
        </w:rPr>
        <w:t>;</w:t>
      </w:r>
    </w:p>
    <w:p>
      <w:pPr>
        <w:numPr>
          <w:ilvl w:val="0"/>
          <w:numId w:val="45"/>
        </w:numPr>
        <w:ind w:left="425" w:leftChars="0" w:firstLine="55" w:firstLineChars="0"/>
        <w:jc w:val="both"/>
        <w:rPr>
          <w:color w:val="auto"/>
        </w:rPr>
      </w:pPr>
      <w:r>
        <w:rPr>
          <w:color w:val="auto"/>
        </w:rPr>
        <w:t xml:space="preserve"> kvalitatīvi sniegt Pakalpojumus Līgumā un tā pielikumos noteiktajā kārtībā, apjomā, termiņā un biežumā, izpildot visus Tehniskajā specifikācijā norādītos Pakalpojuma ietvaros veicamos darbus un izmantojot Pasūtītāja un normatīvo aktu prasībām atbilstošus instrumentus un ierīces;</w:t>
      </w:r>
    </w:p>
    <w:p>
      <w:pPr>
        <w:numPr>
          <w:ilvl w:val="0"/>
          <w:numId w:val="45"/>
        </w:numPr>
        <w:ind w:left="425" w:leftChars="0" w:firstLine="55" w:firstLineChars="0"/>
        <w:jc w:val="both"/>
        <w:rPr>
          <w:color w:val="auto"/>
        </w:rPr>
      </w:pPr>
      <w:r>
        <w:rPr>
          <w:color w:val="auto"/>
        </w:rPr>
        <w:t>sniegt Pakalpojumu, nodrošinot netraucētu Objektu lietotāju darbību – apsekojumu un mērījumu laikā Izpildītājs Objektā nodrošina lietotāju funkcionālo darbību, nodrošinot ar pagaidu pieslēgumu, un paredz darba organizācijas pasākumus atbilstoši spēkā esošajiem normatīvajiem aktiem;</w:t>
      </w:r>
    </w:p>
    <w:p>
      <w:pPr>
        <w:numPr>
          <w:ilvl w:val="0"/>
          <w:numId w:val="45"/>
        </w:numPr>
        <w:ind w:left="425" w:leftChars="0" w:firstLine="55" w:firstLineChars="0"/>
        <w:jc w:val="both"/>
        <w:rPr>
          <w:bCs/>
          <w:color w:val="auto"/>
        </w:rPr>
      </w:pPr>
      <w:r>
        <w:rPr>
          <w:color w:val="auto"/>
        </w:rPr>
        <w:t>sniedzot Pakalpojumus, ievērot Līguma noteikumus, Latvijas Republikā spēkā esošos tiesību aktus, ugunsdrošības prasības, darba drošības noteikumus, Pasūtītāja iekšējās kārtības noteikumus, Objekta lietotāju iekšējos noteikumus, kā arī uzņemties atbildību par sekām, kuras varētu iestāties šajā apakšpunktā noteikto noteikumu neievērošanas vai nepienācīgas ievērošanas rezultātā</w:t>
      </w:r>
      <w:r>
        <w:rPr>
          <w:bCs/>
          <w:color w:val="auto"/>
        </w:rPr>
        <w:t>;</w:t>
      </w:r>
    </w:p>
    <w:p>
      <w:pPr>
        <w:numPr>
          <w:ilvl w:val="0"/>
          <w:numId w:val="45"/>
        </w:numPr>
        <w:ind w:left="425" w:leftChars="0" w:firstLine="55" w:firstLineChars="0"/>
        <w:jc w:val="both"/>
        <w:rPr>
          <w:bCs/>
          <w:color w:val="auto"/>
        </w:rPr>
      </w:pPr>
      <w:r>
        <w:rPr>
          <w:bCs/>
          <w:color w:val="auto"/>
        </w:rPr>
        <w:t>uzņemties pilnu materiālo atbildību par Objektam, Pasūtītājam vai trešajām personām nodarītajiem zaudējumiem un segt visus zaudējumus, kas Izpildītāja un/ vai Pakalpojuma izpildē Izpildītāja iesaistīto personu darbības vai bezdarbības rezultātā radušies;</w:t>
      </w:r>
    </w:p>
    <w:p>
      <w:pPr>
        <w:numPr>
          <w:ilvl w:val="0"/>
          <w:numId w:val="45"/>
        </w:numPr>
        <w:ind w:left="425" w:leftChars="0" w:firstLine="55" w:firstLineChars="0"/>
        <w:jc w:val="both"/>
        <w:rPr>
          <w:bCs/>
          <w:color w:val="auto"/>
        </w:rPr>
      </w:pPr>
      <w:r>
        <w:rPr>
          <w:color w:val="auto"/>
        </w:rPr>
        <w:t xml:space="preserve">novērst Pasūtītāja pretenzijās norādītos trūkumus Pasūtītāja norādītajā termiņā; </w:t>
      </w:r>
    </w:p>
    <w:p>
      <w:pPr>
        <w:numPr>
          <w:ilvl w:val="0"/>
          <w:numId w:val="45"/>
        </w:numPr>
        <w:ind w:left="425" w:leftChars="0" w:firstLine="55" w:firstLineChars="0"/>
        <w:jc w:val="both"/>
        <w:rPr>
          <w:bCs/>
          <w:color w:val="auto"/>
        </w:rPr>
      </w:pPr>
      <w:r>
        <w:rPr>
          <w:bCs/>
          <w:color w:val="auto"/>
        </w:rPr>
        <w:t xml:space="preserve">Pakalpojumus sniegt, iespējami nodrošinot netraucētu Objekta lietotāju darbību (atsevišķos gadījumos darbus veikt vakaros pēc plkst. 20.00 un brīvdienās), un </w:t>
      </w:r>
      <w:r>
        <w:rPr>
          <w:color w:val="auto"/>
        </w:rPr>
        <w:t>pirms Pakalpojumos ietilpstošo darbu uzsākšanas saskaņot veicamo darbu grafiku ar attiecīgā Objekta pārvaldnieku un telpu lietotājiem, kā arī pēc darbu pabeigšanas sakārtot un uzkopt Pakalpojumu sniegšanas vietu, atstājot to tīru un kārtībā</w:t>
      </w:r>
      <w:r>
        <w:rPr>
          <w:bCs/>
          <w:color w:val="auto"/>
        </w:rPr>
        <w:t>;</w:t>
      </w:r>
    </w:p>
    <w:p>
      <w:pPr>
        <w:numPr>
          <w:ilvl w:val="0"/>
          <w:numId w:val="45"/>
        </w:numPr>
        <w:ind w:left="425" w:leftChars="0" w:firstLine="55" w:firstLineChars="0"/>
        <w:jc w:val="both"/>
        <w:rPr>
          <w:bCs/>
          <w:color w:val="auto"/>
        </w:rPr>
      </w:pPr>
      <w:r>
        <w:rPr>
          <w:bCs/>
          <w:color w:val="auto"/>
        </w:rPr>
        <w:t>iesniegt Pasūtītājam Tehniskajā specifikācijā noteikto izpilddokumentāciju un elektronisko mērījumu protokolus trīs eksemplāros drukātā veidā un vienu elektroniski;</w:t>
      </w:r>
    </w:p>
    <w:p>
      <w:pPr>
        <w:numPr>
          <w:ilvl w:val="0"/>
          <w:numId w:val="45"/>
        </w:numPr>
        <w:ind w:left="425" w:leftChars="0" w:firstLine="55" w:firstLineChars="0"/>
        <w:jc w:val="both"/>
        <w:rPr>
          <w:bCs/>
          <w:color w:val="auto"/>
        </w:rPr>
      </w:pPr>
      <w:r>
        <w:rPr>
          <w:bCs/>
          <w:color w:val="auto"/>
        </w:rPr>
        <w:t>līdz nākamā mēneša __.datumam iesniegt Pasūtītājam izpildes aktu un Pakalpojumu nodošanas - pieņemšanas aktu par veiktajiem Pakalpojumiem iepriekšējā mēnesī;</w:t>
      </w:r>
    </w:p>
    <w:p>
      <w:pPr>
        <w:numPr>
          <w:ilvl w:val="0"/>
          <w:numId w:val="45"/>
        </w:numPr>
        <w:ind w:left="425" w:leftChars="0" w:firstLine="55" w:firstLineChars="0"/>
        <w:jc w:val="both"/>
        <w:rPr>
          <w:bCs/>
          <w:color w:val="auto"/>
        </w:rPr>
      </w:pPr>
      <w:r>
        <w:rPr>
          <w:bCs/>
          <w:color w:val="auto"/>
        </w:rPr>
        <w:t>Līguma darbības laikā nodrošināt, ka Pakalpojumu izpildē piedalās kvalificēts personāls ar nepieciešamo pieredzi;</w:t>
      </w:r>
    </w:p>
    <w:p>
      <w:pPr>
        <w:numPr>
          <w:ilvl w:val="0"/>
          <w:numId w:val="45"/>
        </w:numPr>
        <w:ind w:left="425" w:leftChars="0" w:firstLine="55" w:firstLineChars="0"/>
        <w:jc w:val="both"/>
        <w:rPr>
          <w:bCs/>
          <w:color w:val="auto"/>
        </w:rPr>
      </w:pPr>
      <w:r>
        <w:rPr>
          <w:bCs/>
          <w:color w:val="auto"/>
        </w:rPr>
        <w:t xml:space="preserve">Līguma darbības laikā Pakalpojuma sniegšanai piesaistīt ne mazāk kā </w:t>
      </w:r>
      <w:r>
        <w:rPr>
          <w:color w:val="auto"/>
        </w:rPr>
        <w:t>2 (divus) speciālistus, kuriem uz Līguma noslēgšanas brīdi ir spēkā apliecība ar vismaz B elektrodrošības grupu atbilstoši Ministru kabineta 2013.gada 8.oktobra noteikumiem Nr.1041 „Noteikumi par obligāti piemērojamo energostandartu, kas nosaka elektroapgādes objektu ekspluatācijas organizatoriskās un tehniskās drošības prasības”, no kuriem:</w:t>
      </w:r>
    </w:p>
    <w:p>
      <w:pPr>
        <w:pStyle w:val="8"/>
        <w:numPr>
          <w:ilvl w:val="3"/>
          <w:numId w:val="46"/>
        </w:numPr>
        <w:tabs>
          <w:tab w:val="left" w:pos="2520"/>
        </w:tabs>
        <w:ind w:hanging="27"/>
        <w:jc w:val="both"/>
        <w:rPr>
          <w:bCs/>
          <w:color w:val="auto"/>
        </w:rPr>
      </w:pPr>
      <w:r>
        <w:rPr>
          <w:bCs/>
          <w:color w:val="auto"/>
        </w:rPr>
        <w:t>ne mazāk kā 2 (divi) speciālisti, kuriem uz Līguma noslēgšanas brīdi ir spēkā esošs sertifikāts elektroietaišu tehnisko parametru pārbaudē un mērīšanā ar darba spriegumu vismaz 1 kV;</w:t>
      </w:r>
    </w:p>
    <w:p>
      <w:pPr>
        <w:numPr>
          <w:ilvl w:val="3"/>
          <w:numId w:val="46"/>
        </w:numPr>
        <w:tabs>
          <w:tab w:val="left" w:pos="1701"/>
          <w:tab w:val="left" w:pos="2520"/>
          <w:tab w:val="clear" w:pos="1728"/>
        </w:tabs>
        <w:ind w:left="1701" w:firstLine="0"/>
        <w:contextualSpacing/>
        <w:jc w:val="both"/>
        <w:rPr>
          <w:bCs/>
          <w:color w:val="auto"/>
        </w:rPr>
      </w:pPr>
      <w:r>
        <w:rPr>
          <w:bCs/>
          <w:color w:val="auto"/>
        </w:rPr>
        <w:t>vismaz 1 (viens) speciālists, kuram uz Līguma noslēgšanas brīdi ir spēkā esošs sertifikāts elektroietaišu izbūvē vai izbūves darbu vadīšanā, vai ekspluatācijā, vai būvuzraudzībā ar darba spriegumu vismaz 1 kV.</w:t>
      </w:r>
    </w:p>
    <w:p>
      <w:pPr>
        <w:pStyle w:val="8"/>
        <w:numPr>
          <w:ilvl w:val="0"/>
          <w:numId w:val="47"/>
        </w:numPr>
        <w:ind w:left="425" w:leftChars="0" w:firstLine="55" w:firstLineChars="0"/>
        <w:jc w:val="both"/>
        <w:rPr>
          <w:bCs/>
          <w:color w:val="auto"/>
        </w:rPr>
      </w:pPr>
      <w:r>
        <w:rPr>
          <w:bCs/>
          <w:color w:val="auto"/>
        </w:rPr>
        <w:t xml:space="preserve">Līguma </w:t>
      </w:r>
      <w:r>
        <w:rPr>
          <w:rFonts w:hint="default"/>
          <w:bCs/>
          <w:color w:val="auto"/>
        </w:rPr>
        <w:t>5</w:t>
      </w:r>
      <w:r>
        <w:rPr>
          <w:bCs/>
          <w:color w:val="auto"/>
        </w:rPr>
        <w:t>.1.11.apakšpunktā noteiktajām prasībām atbilstošo un Tehniskajā piedāvājumā minēto speciālistu nomaiņu veikt Līgumā noteiktajā kārtībā;</w:t>
      </w:r>
    </w:p>
    <w:p>
      <w:pPr>
        <w:pStyle w:val="8"/>
        <w:numPr>
          <w:ilvl w:val="0"/>
          <w:numId w:val="47"/>
        </w:numPr>
        <w:ind w:left="425" w:leftChars="0" w:firstLine="55" w:firstLineChars="0"/>
        <w:jc w:val="both"/>
        <w:rPr>
          <w:bCs/>
          <w:color w:val="auto"/>
        </w:rPr>
      </w:pPr>
      <w:r>
        <w:rPr>
          <w:color w:val="auto"/>
        </w:rPr>
        <w:t>nodrošināt, ka Izpildītāja rīcībā ir tehniskais aprīkojums, kas nepieciešams Pakalpojuma sniegšanai Tehniskajā specifikācijā noteiktajā apjomā;</w:t>
      </w:r>
    </w:p>
    <w:p>
      <w:pPr>
        <w:pStyle w:val="8"/>
        <w:numPr>
          <w:ilvl w:val="0"/>
          <w:numId w:val="47"/>
        </w:numPr>
        <w:ind w:left="425" w:leftChars="0" w:firstLine="55" w:firstLineChars="0"/>
        <w:jc w:val="both"/>
        <w:rPr>
          <w:bCs/>
          <w:color w:val="auto"/>
        </w:rPr>
      </w:pPr>
      <w:r>
        <w:rPr>
          <w:color w:val="auto"/>
        </w:rPr>
        <w:t xml:space="preserve">sniedzot Pakalpojumus, </w:t>
      </w:r>
      <w:r>
        <w:rPr>
          <w:bCs/>
          <w:color w:val="auto"/>
        </w:rPr>
        <w:t xml:space="preserve">uzņemties atbildību par </w:t>
      </w:r>
      <w:r>
        <w:rPr>
          <w:color w:val="auto"/>
        </w:rPr>
        <w:t>savu un trešo personu drošību;</w:t>
      </w:r>
    </w:p>
    <w:p>
      <w:pPr>
        <w:pStyle w:val="8"/>
        <w:numPr>
          <w:ilvl w:val="0"/>
          <w:numId w:val="47"/>
        </w:numPr>
        <w:ind w:left="425" w:leftChars="0" w:firstLine="55" w:firstLineChars="0"/>
        <w:jc w:val="both"/>
        <w:rPr>
          <w:bCs/>
          <w:color w:val="auto"/>
        </w:rPr>
      </w:pPr>
      <w:r>
        <w:rPr>
          <w:color w:val="auto"/>
        </w:rPr>
        <w:t>____ (__) darba dienu laikā pēc Pasūtītāja pieprasījuma iesniegt par konkrētā Objektā veicamiem darbiem un darbos iesaistītām personām;</w:t>
      </w:r>
    </w:p>
    <w:p>
      <w:pPr>
        <w:numPr>
          <w:ilvl w:val="0"/>
          <w:numId w:val="48"/>
        </w:numPr>
        <w:ind w:left="425" w:leftChars="0" w:hanging="425" w:firstLineChars="0"/>
        <w:jc w:val="both"/>
        <w:rPr>
          <w:bCs/>
          <w:color w:val="auto"/>
        </w:rPr>
      </w:pPr>
      <w:r>
        <w:rPr>
          <w:bCs/>
          <w:color w:val="auto"/>
        </w:rPr>
        <w:t>Izpildītāja tiesības:</w:t>
      </w:r>
    </w:p>
    <w:p>
      <w:pPr>
        <w:numPr>
          <w:ilvl w:val="0"/>
          <w:numId w:val="49"/>
        </w:numPr>
        <w:ind w:left="425" w:leftChars="0" w:firstLine="55" w:firstLineChars="0"/>
        <w:jc w:val="both"/>
        <w:rPr>
          <w:bCs/>
          <w:color w:val="auto"/>
        </w:rPr>
      </w:pPr>
      <w:r>
        <w:rPr>
          <w:bCs/>
          <w:color w:val="auto"/>
        </w:rPr>
        <w:t>saņemt samaksu par Pasūtītājam pilnībā, kvalitatīvi un atbilstoši Līgumam sniegtiem Pakalpojumiem saskaņā ar Līgumu;</w:t>
      </w:r>
    </w:p>
    <w:p>
      <w:pPr>
        <w:numPr>
          <w:ilvl w:val="0"/>
          <w:numId w:val="49"/>
        </w:numPr>
        <w:ind w:left="425" w:leftChars="0" w:firstLine="55" w:firstLineChars="0"/>
        <w:jc w:val="both"/>
        <w:rPr>
          <w:bCs/>
          <w:color w:val="auto"/>
        </w:rPr>
      </w:pPr>
      <w:r>
        <w:rPr>
          <w:bCs/>
          <w:color w:val="auto"/>
        </w:rPr>
        <w:t>saņemt Pasūtītāja rīcībā esošo un Pakalpojuma izpildei nepieciešamo informāciju.</w:t>
      </w:r>
    </w:p>
    <w:p>
      <w:pPr>
        <w:suppressAutoHyphens/>
        <w:jc w:val="center"/>
        <w:rPr>
          <w:b/>
          <w:color w:val="auto"/>
        </w:rPr>
      </w:pPr>
      <w:r>
        <w:rPr>
          <w:b/>
          <w:color w:val="auto"/>
        </w:rPr>
        <w:t>6. Apdrošināšana</w:t>
      </w:r>
    </w:p>
    <w:p>
      <w:pPr>
        <w:shd w:val="clear" w:color="auto" w:fill="FFFFFF"/>
        <w:ind w:left="426" w:hanging="567"/>
        <w:jc w:val="both"/>
        <w:rPr>
          <w:color w:val="auto"/>
        </w:rPr>
      </w:pPr>
      <w:r>
        <w:rPr>
          <w:color w:val="auto"/>
        </w:rPr>
        <w:t xml:space="preserve">6.1. </w:t>
      </w:r>
      <w:r>
        <w:rPr>
          <w:bCs/>
          <w:color w:val="auto"/>
        </w:rPr>
        <w:t xml:space="preserve">Izpildītājs apņemas ne vēlāk kā </w:t>
      </w:r>
      <w:r>
        <w:rPr>
          <w:color w:val="auto"/>
        </w:rPr>
        <w:t xml:space="preserve">5 (piecu) </w:t>
      </w:r>
      <w:r>
        <w:rPr>
          <w:bCs/>
          <w:color w:val="auto"/>
        </w:rPr>
        <w:t xml:space="preserve">darba dienu laikā pēc Līguma spēkā stāšanās dienas, bet ne vēlāk kā pirms Pakalpojuma uzsākšanas iesniegt Pasūtītājam Izpildītāja un Pakalpojuma izpildē Izpildītāja iesaistīto personu civiltiesiskās atbildības apdrošināšanas polises, apdrošināšanas līguma un dokumentu, kas apliecina apdrošināšanas prēmijas apmaksu, apliecinātas kopijas, uzrādot minēto dokumentu oriģinālus, kas apliecina šādas apdrošināšanas polises esamību: Izpildītāja un Pakalpojuma izpildē Izpildītāja iesaistīto personu civiltiesiskās atbildības apdrošināšanu Objektos par Līguma izpildes laikā Izpildītāja un/vai Pakalpojuma izpildē Izpildītāja iesaistīto personu darbības vai bezdarbības rezultātā Pasūtītājam un trešajām personām nodarīto zaudējumu atlīdzināšanu ar kopējo atbildības limitu ne mazāku kā </w:t>
      </w:r>
      <w:r>
        <w:rPr>
          <w:rFonts w:hint="default"/>
          <w:color w:val="auto"/>
        </w:rPr>
        <w:t>30</w:t>
      </w:r>
      <w:r>
        <w:rPr>
          <w:color w:val="auto"/>
        </w:rPr>
        <w:t xml:space="preserve"> 000,00 EUR </w:t>
      </w:r>
      <w:r>
        <w:rPr>
          <w:bCs/>
          <w:iCs/>
          <w:color w:val="auto"/>
        </w:rPr>
        <w:t>(</w:t>
      </w:r>
      <w:r>
        <w:rPr>
          <w:rFonts w:hint="default"/>
          <w:bCs/>
          <w:iCs/>
          <w:color w:val="auto"/>
        </w:rPr>
        <w:t>trīsdesmit</w:t>
      </w:r>
      <w:r>
        <w:rPr>
          <w:bCs/>
          <w:iCs/>
          <w:color w:val="auto"/>
        </w:rPr>
        <w:t xml:space="preserve"> tūkstoši </w:t>
      </w:r>
      <w:r>
        <w:rPr>
          <w:bCs/>
          <w:i/>
          <w:color w:val="auto"/>
        </w:rPr>
        <w:t>euro</w:t>
      </w:r>
      <w:r>
        <w:rPr>
          <w:bCs/>
          <w:color w:val="auto"/>
        </w:rPr>
        <w:t xml:space="preserve"> un 00 centi), </w:t>
      </w:r>
      <w:r>
        <w:rPr>
          <w:color w:val="auto"/>
        </w:rPr>
        <w:t xml:space="preserve">atbildības limitu par katru gadījumu ne mazāku kā </w:t>
      </w:r>
      <w:r>
        <w:rPr>
          <w:rFonts w:hint="default"/>
          <w:color w:val="auto"/>
        </w:rPr>
        <w:t xml:space="preserve">30 </w:t>
      </w:r>
      <w:r>
        <w:rPr>
          <w:color w:val="auto"/>
        </w:rPr>
        <w:t xml:space="preserve">000,00 EUR </w:t>
      </w:r>
      <w:r>
        <w:rPr>
          <w:bCs/>
          <w:iCs/>
          <w:color w:val="auto"/>
        </w:rPr>
        <w:t>(</w:t>
      </w:r>
      <w:r>
        <w:rPr>
          <w:rFonts w:hint="default"/>
          <w:bCs/>
          <w:iCs/>
          <w:color w:val="auto"/>
        </w:rPr>
        <w:t>trīsdesmit</w:t>
      </w:r>
      <w:r>
        <w:rPr>
          <w:bCs/>
          <w:iCs/>
          <w:color w:val="auto"/>
        </w:rPr>
        <w:t xml:space="preserve"> tūkstoši </w:t>
      </w:r>
      <w:r>
        <w:rPr>
          <w:bCs/>
          <w:i/>
          <w:color w:val="auto"/>
        </w:rPr>
        <w:t>euro</w:t>
      </w:r>
      <w:r>
        <w:rPr>
          <w:bCs/>
          <w:color w:val="auto"/>
        </w:rPr>
        <w:t xml:space="preserve"> un 00 centi) un pašrisku ne lielāku kā </w:t>
      </w:r>
      <w:r>
        <w:rPr>
          <w:rFonts w:hint="default"/>
          <w:bCs/>
          <w:color w:val="auto"/>
        </w:rPr>
        <w:t>30</w:t>
      </w:r>
      <w:r>
        <w:rPr>
          <w:bCs/>
          <w:iCs/>
          <w:color w:val="auto"/>
        </w:rPr>
        <w:t xml:space="preserve">0,00 </w:t>
      </w:r>
      <w:r>
        <w:rPr>
          <w:bCs/>
          <w:color w:val="auto"/>
        </w:rPr>
        <w:t xml:space="preserve">EUR </w:t>
      </w:r>
      <w:r>
        <w:rPr>
          <w:bCs/>
          <w:iCs/>
          <w:color w:val="auto"/>
        </w:rPr>
        <w:t>(</w:t>
      </w:r>
      <w:r>
        <w:rPr>
          <w:rFonts w:hint="default"/>
          <w:bCs/>
          <w:iCs/>
          <w:color w:val="auto"/>
        </w:rPr>
        <w:t>trīs</w:t>
      </w:r>
      <w:r>
        <w:rPr>
          <w:bCs/>
          <w:iCs/>
          <w:color w:val="auto"/>
        </w:rPr>
        <w:t xml:space="preserve"> simti </w:t>
      </w:r>
      <w:r>
        <w:rPr>
          <w:bCs/>
          <w:i/>
          <w:color w:val="auto"/>
        </w:rPr>
        <w:t>euro</w:t>
      </w:r>
      <w:r>
        <w:rPr>
          <w:bCs/>
          <w:color w:val="auto"/>
        </w:rPr>
        <w:t xml:space="preserve"> un 00 centi).</w:t>
      </w:r>
    </w:p>
    <w:p>
      <w:pPr>
        <w:tabs>
          <w:tab w:val="left" w:pos="2520"/>
        </w:tabs>
        <w:ind w:left="426" w:hanging="567"/>
        <w:jc w:val="both"/>
        <w:rPr>
          <w:b/>
          <w:bCs/>
          <w:color w:val="auto"/>
        </w:rPr>
      </w:pPr>
      <w:r>
        <w:rPr>
          <w:bCs/>
          <w:color w:val="auto"/>
        </w:rPr>
        <w:t>6.2.   Izpildītājs nodrošina Līguma 6.1.apakšpunktā minēto apdrošināšanu līdz Līguma darbības termiņa beigām.</w:t>
      </w:r>
    </w:p>
    <w:p>
      <w:pPr>
        <w:pStyle w:val="8"/>
        <w:numPr>
          <w:ilvl w:val="1"/>
          <w:numId w:val="50"/>
        </w:numPr>
        <w:ind w:left="426" w:hanging="567"/>
        <w:jc w:val="both"/>
        <w:rPr>
          <w:b/>
          <w:bCs/>
          <w:color w:val="auto"/>
        </w:rPr>
      </w:pPr>
      <w:r>
        <w:rPr>
          <w:bCs/>
          <w:color w:val="auto"/>
        </w:rPr>
        <w:t xml:space="preserve"> Izpildītāja civiltiesiskās atbildības apdrošināšanas polisē kā trešajai personai ir jābūt minētam – Pasūtītājam un tai ir jābūt spēkā arī gadījumā, ja Izpildītājam ir pasludināta maksātnespēja vai Izpildītājs ir likvidēts.</w:t>
      </w:r>
    </w:p>
    <w:p>
      <w:pPr>
        <w:pStyle w:val="8"/>
        <w:numPr>
          <w:ilvl w:val="1"/>
          <w:numId w:val="50"/>
        </w:numPr>
        <w:ind w:left="426" w:hanging="567"/>
        <w:jc w:val="both"/>
        <w:rPr>
          <w:b/>
          <w:bCs/>
          <w:color w:val="auto"/>
        </w:rPr>
      </w:pPr>
      <w:r>
        <w:rPr>
          <w:bCs/>
          <w:color w:val="auto"/>
        </w:rPr>
        <w:t xml:space="preserve"> Izpildītājam ir pienākums iepriekš apdrošināšanas līguma un apdrošināšanas polises projektus saskaņot ar Pasūtītāju.</w:t>
      </w:r>
    </w:p>
    <w:p>
      <w:pPr>
        <w:numPr>
          <w:ilvl w:val="1"/>
          <w:numId w:val="50"/>
        </w:numPr>
        <w:ind w:left="426" w:hanging="567"/>
        <w:jc w:val="both"/>
        <w:rPr>
          <w:b/>
          <w:bCs/>
          <w:color w:val="auto"/>
        </w:rPr>
      </w:pPr>
      <w:r>
        <w:rPr>
          <w:bCs/>
          <w:color w:val="auto"/>
        </w:rPr>
        <w:t xml:space="preserve"> Ja apdrošināšanas polisei Līguma 6.2.apakšpunktā minētajā laikā beidzas termiņš, Izpildītājs iesniedz Pasūtītajam jaunus tāda paša veida un satura Līguma 6.1.apakšpunktā noteiktos dokumentus ne vēlāk kā 10 (desmit) darba dienas pirms pirmās civiltiesiskās atbildības apdrošināšanas polises termiņa pēdējās dienas, uzrādot minēto dokumentu oriģinālus.</w:t>
      </w:r>
    </w:p>
    <w:p>
      <w:pPr>
        <w:ind w:left="426" w:hanging="568"/>
        <w:jc w:val="both"/>
        <w:rPr>
          <w:color w:val="auto"/>
        </w:rPr>
      </w:pPr>
    </w:p>
    <w:p>
      <w:pPr>
        <w:numPr>
          <w:ilvl w:val="0"/>
          <w:numId w:val="51"/>
        </w:numPr>
        <w:suppressAutoHyphens/>
        <w:ind w:left="425" w:leftChars="0" w:hanging="425" w:firstLineChars="0"/>
        <w:jc w:val="center"/>
        <w:rPr>
          <w:b/>
          <w:color w:val="auto"/>
        </w:rPr>
      </w:pPr>
      <w:r>
        <w:rPr>
          <w:b/>
          <w:color w:val="auto"/>
        </w:rPr>
        <w:t xml:space="preserve"> Pušu atbildība </w:t>
      </w:r>
    </w:p>
    <w:p>
      <w:pPr>
        <w:suppressAutoHyphens/>
        <w:ind w:left="426" w:hanging="568"/>
        <w:jc w:val="both"/>
        <w:rPr>
          <w:color w:val="auto"/>
        </w:rPr>
      </w:pPr>
      <w:r>
        <w:rPr>
          <w:color w:val="auto"/>
        </w:rPr>
        <w:t>7.1. Puses ir atbildīgas par Līgumā noteikto saistību pilnīgu izpildi, atbilstoši Līguma nosacījumiem.</w:t>
      </w:r>
    </w:p>
    <w:p>
      <w:pPr>
        <w:suppressAutoHyphens/>
        <w:ind w:left="426" w:hanging="568"/>
        <w:jc w:val="both"/>
        <w:rPr>
          <w:color w:val="auto"/>
        </w:rPr>
      </w:pPr>
      <w:r>
        <w:rPr>
          <w:color w:val="auto"/>
        </w:rPr>
        <w:t>7.2. Par līgumsaistību pienācīgu neizpildi Puses ir atbildīgas saskaņā ar šo Līgumu, Būvniecības likumu, Civillikumu un citiem Latvijas Republikā spēkā esošajiem normatīvajiem aktiem, kas attiecas uz Darba izpildi.</w:t>
      </w:r>
    </w:p>
    <w:p>
      <w:pPr>
        <w:suppressAutoHyphens/>
        <w:ind w:left="426" w:hanging="568"/>
        <w:jc w:val="both"/>
        <w:rPr>
          <w:color w:val="auto"/>
        </w:rPr>
      </w:pPr>
      <w:r>
        <w:rPr>
          <w:color w:val="auto"/>
        </w:rPr>
        <w:t>7.3.   Ja Izpildītājs neievēro Līgumā noteiktos Darba uzsākšanas vai izpildes termiņus, vai apdrošināšanas dokumentu iesniegšanas termiņus, Izpildītājs maksā Pasūtītājam līgumsodu 0,1 % apmērā no kopējās Līgumcenas par katru nokavēto dienu, bet ne vairāk kā 10 % no kopējās Līgumcenas.</w:t>
      </w:r>
    </w:p>
    <w:p>
      <w:pPr>
        <w:suppressAutoHyphens/>
        <w:ind w:left="426" w:hanging="568"/>
        <w:jc w:val="both"/>
        <w:rPr>
          <w:color w:val="auto"/>
        </w:rPr>
      </w:pPr>
      <w:r>
        <w:rPr>
          <w:color w:val="auto"/>
        </w:rPr>
        <w:t>7.4.  Ja Pasūtītājs savlaicīgi neveic Līguma  2. punktā noteiktos maksājumus, tad tas maksā Izpildītājam līgumsodu 0,1% apmērā  no nokavētās maksājuma summas par katru maksājuma kavējuma dienu, bet ne vairāk kā 10 % no nokavētās maksājuma summas.</w:t>
      </w:r>
      <w:r>
        <w:rPr>
          <w:b/>
          <w:color w:val="auto"/>
        </w:rPr>
        <w:t xml:space="preserve"> </w:t>
      </w:r>
    </w:p>
    <w:p>
      <w:pPr>
        <w:suppressAutoHyphens/>
        <w:ind w:left="426" w:hanging="568"/>
        <w:jc w:val="both"/>
        <w:rPr>
          <w:color w:val="auto"/>
        </w:rPr>
      </w:pPr>
      <w:r>
        <w:rPr>
          <w:color w:val="auto"/>
        </w:rPr>
        <w:t xml:space="preserve">7.5.  Gadījumā, ja Izpildītājs pārkāpj kādu no šī Līguma noteikumiem, par kuriem Pasūtītājs rakstiski ir informējis Izpildītāju, Izpildītājs par katru šādu pārkāpumu maksā Pasūtītājam līgumsodu EUR 300,00 (trīs simti </w:t>
      </w:r>
      <w:r>
        <w:rPr>
          <w:i/>
          <w:color w:val="auto"/>
        </w:rPr>
        <w:t xml:space="preserve">euro </w:t>
      </w:r>
      <w:r>
        <w:rPr>
          <w:color w:val="auto"/>
        </w:rPr>
        <w:t xml:space="preserve">00 centi) apmērā. </w:t>
      </w:r>
    </w:p>
    <w:p>
      <w:pPr>
        <w:suppressAutoHyphens/>
        <w:ind w:left="426" w:hanging="568"/>
        <w:jc w:val="both"/>
        <w:rPr>
          <w:color w:val="auto"/>
        </w:rPr>
      </w:pPr>
      <w:r>
        <w:rPr>
          <w:color w:val="auto"/>
        </w:rPr>
        <w:t>7.6.  Puses tiek atbrīvotas no atbildības par Līguma pilnīgu vai daļēju neizpildi, ja šāda neizpilde radusies nepārvaramas varas apstākļu rezultātā, kuru darbība sākusies pēc Līguma noslēgšanas un kurus nevarēja iepriekš ne paredzēt, ne novērst. Pie nepārvaramas varas un ārkārtēja rakstura apstākļiem pieskaitāmi: stihiskas nelaimes, avārijas, katastrofas, epidēmijas, epizootijas, kara darbība, nemieri, blokādes, valsts varas un pārvaldes institūciju lēmumi.</w:t>
      </w:r>
    </w:p>
    <w:p>
      <w:pPr>
        <w:suppressAutoHyphens/>
        <w:ind w:left="426" w:hanging="568"/>
        <w:jc w:val="both"/>
        <w:rPr>
          <w:color w:val="auto"/>
        </w:rPr>
      </w:pPr>
      <w:r>
        <w:rPr>
          <w:color w:val="auto"/>
        </w:rPr>
        <w:t>7.7  Ja nepārvaramas varas apstākļu un to seku dēļ nav iespējams izpildīt šajā Līgumā paredzētās saistības ilgāk kā 3 (trīs) mēnešus, Puses pēc iespējas drīzāk sāk sarunas par šī Līguma izpildes alternatīviem variantiem, kuri ir pieņemami abām Pusēm, un izdara attiecīgus grozījumus šajā Līgumā vai sastāda jaunu līgumu, vai arī izbeidz šo Līgumu.</w:t>
      </w:r>
    </w:p>
    <w:p>
      <w:pPr>
        <w:numPr>
          <w:numId w:val="0"/>
        </w:numPr>
        <w:suppressAutoHyphens/>
        <w:ind w:leftChars="0"/>
        <w:jc w:val="center"/>
        <w:rPr>
          <w:rFonts w:hint="default"/>
          <w:b/>
          <w:color w:val="auto"/>
        </w:rPr>
      </w:pPr>
    </w:p>
    <w:p>
      <w:pPr>
        <w:numPr>
          <w:numId w:val="0"/>
        </w:numPr>
        <w:suppressAutoHyphens/>
        <w:ind w:leftChars="0"/>
        <w:jc w:val="center"/>
        <w:rPr>
          <w:rFonts w:hint="default"/>
          <w:b/>
          <w:color w:val="auto"/>
        </w:rPr>
      </w:pPr>
    </w:p>
    <w:p>
      <w:pPr>
        <w:numPr>
          <w:numId w:val="0"/>
        </w:numPr>
        <w:suppressAutoHyphens/>
        <w:ind w:leftChars="0"/>
        <w:jc w:val="center"/>
        <w:rPr>
          <w:b/>
          <w:color w:val="auto"/>
        </w:rPr>
      </w:pPr>
      <w:r>
        <w:rPr>
          <w:rFonts w:hint="default"/>
          <w:b/>
          <w:color w:val="auto"/>
        </w:rPr>
        <w:t>8.</w:t>
      </w:r>
      <w:r>
        <w:rPr>
          <w:b/>
          <w:color w:val="auto"/>
        </w:rPr>
        <w:t xml:space="preserve"> Līguma izbeigšana</w:t>
      </w:r>
    </w:p>
    <w:p>
      <w:pPr>
        <w:numPr>
          <w:ilvl w:val="0"/>
          <w:numId w:val="52"/>
        </w:numPr>
        <w:suppressAutoHyphens/>
        <w:ind w:left="425" w:leftChars="0" w:hanging="425" w:firstLineChars="0"/>
        <w:jc w:val="both"/>
        <w:rPr>
          <w:color w:val="auto"/>
        </w:rPr>
      </w:pPr>
      <w:r>
        <w:rPr>
          <w:color w:val="auto"/>
        </w:rPr>
        <w:t>Līgums var tikt izbeigts, Pusēm savstarpēji rakstiski vienojoties vai normatīvajos aktos noteiktajā kārtībā.</w:t>
      </w:r>
    </w:p>
    <w:p>
      <w:pPr>
        <w:numPr>
          <w:ilvl w:val="0"/>
          <w:numId w:val="52"/>
        </w:numPr>
        <w:suppressAutoHyphens/>
        <w:ind w:left="425" w:leftChars="0" w:hanging="425" w:firstLineChars="0"/>
        <w:jc w:val="both"/>
        <w:rPr>
          <w:color w:val="auto"/>
        </w:rPr>
      </w:pPr>
      <w:r>
        <w:rPr>
          <w:color w:val="auto"/>
        </w:rPr>
        <w:t xml:space="preserve"> Pasūtītājs var vienpusēji atkāpties no Līguma, rakstveidā paziņojot par to Izpildītājam 7 (septiņas)  kalendāra dienas iepriekš, ja:</w:t>
      </w:r>
    </w:p>
    <w:p>
      <w:pPr>
        <w:tabs>
          <w:tab w:val="left" w:pos="480"/>
          <w:tab w:val="left" w:pos="851"/>
          <w:tab w:val="left" w:pos="1004"/>
          <w:tab w:val="left" w:pos="1276"/>
        </w:tabs>
        <w:suppressAutoHyphens/>
        <w:ind w:left="1276" w:hanging="709"/>
        <w:jc w:val="both"/>
        <w:rPr>
          <w:color w:val="auto"/>
        </w:rPr>
      </w:pPr>
      <w:r>
        <w:rPr>
          <w:color w:val="auto"/>
        </w:rPr>
        <w:t>8.2.1. Izpildītājs atkārtoti neievēro likumīgus Pasūtītāja rakstiskus norādījumus vai arī atkārtoti nepilda kādas Līgumā noteiktās saistības vai pienākumus, un ja Izpildītājs šādu neizpildi nav novērsis 10 (desmit) darba dienu laikā pēc attiecīga rakstiska Pasūtītāja paziņojuma saņemšanas;</w:t>
      </w:r>
    </w:p>
    <w:p>
      <w:pPr>
        <w:tabs>
          <w:tab w:val="left" w:pos="851"/>
          <w:tab w:val="left" w:pos="1004"/>
          <w:tab w:val="left" w:pos="1276"/>
        </w:tabs>
        <w:overflowPunct w:val="0"/>
        <w:autoSpaceDE w:val="0"/>
        <w:autoSpaceDN w:val="0"/>
        <w:adjustRightInd w:val="0"/>
        <w:ind w:left="1276" w:hanging="709"/>
        <w:jc w:val="both"/>
        <w:rPr>
          <w:color w:val="auto"/>
        </w:rPr>
      </w:pPr>
      <w:r>
        <w:rPr>
          <w:color w:val="auto"/>
        </w:rPr>
        <w:t>8.2.2. Darbi tiek veikti neatbilstoši Līguma dokumentu prasībām, kvalitātes vai tehnoloģijas prasībām vai netiek uzsākta defektu novēršana;</w:t>
      </w:r>
    </w:p>
    <w:p>
      <w:pPr>
        <w:tabs>
          <w:tab w:val="left" w:pos="1004"/>
          <w:tab w:val="left" w:pos="1276"/>
        </w:tabs>
        <w:ind w:left="1276" w:hanging="709"/>
        <w:jc w:val="both"/>
        <w:rPr>
          <w:rFonts w:eastAsia="Calibri"/>
          <w:color w:val="auto"/>
        </w:rPr>
      </w:pPr>
      <w:r>
        <w:rPr>
          <w:rFonts w:eastAsia="Calibri"/>
          <w:color w:val="auto"/>
        </w:rPr>
        <w:t xml:space="preserve">8.2.3. ir pasludināts Izpildītāja maksātnespējas process, apturēta vai pārtraukta tā saimnieciskā darbība, uzsākta tiesvedība par Izpildītāja bankrotu; </w:t>
      </w:r>
    </w:p>
    <w:p>
      <w:pPr>
        <w:numPr>
          <w:ilvl w:val="0"/>
          <w:numId w:val="53"/>
        </w:numPr>
        <w:tabs>
          <w:tab w:val="left" w:pos="426"/>
        </w:tabs>
        <w:suppressAutoHyphens/>
        <w:ind w:left="425" w:leftChars="0" w:hanging="425" w:firstLineChars="0"/>
        <w:jc w:val="both"/>
        <w:rPr>
          <w:color w:val="auto"/>
        </w:rPr>
      </w:pPr>
      <w:r>
        <w:rPr>
          <w:color w:val="auto"/>
        </w:rPr>
        <w:t>Izpildītājs nosūtot Pasūtītājam rakstisku paziņojumu 7 (septiņas) kalendāra dienas iepriekš, ir tiesīgs vienpusēji izbeigt Līgumu, ja Pasūtītājs Līgumā noteiktajos termiņos neveic maksājumus un Pasūtītāja nokavējums ir sasniedzis vismaz 20 (divdesmit) darba dienas.</w:t>
      </w:r>
    </w:p>
    <w:p>
      <w:pPr>
        <w:numPr>
          <w:ilvl w:val="0"/>
          <w:numId w:val="53"/>
        </w:numPr>
        <w:tabs>
          <w:tab w:val="left" w:pos="426"/>
        </w:tabs>
        <w:suppressAutoHyphens/>
        <w:ind w:left="425" w:leftChars="0" w:hanging="425" w:firstLineChars="0"/>
        <w:jc w:val="both"/>
        <w:rPr>
          <w:color w:val="auto"/>
        </w:rPr>
      </w:pPr>
      <w:r>
        <w:rPr>
          <w:color w:val="auto"/>
        </w:rPr>
        <w:t xml:space="preserve">Līguma izbeigšana saistību neizpildes dēļ neierobežo Pušu tiesības uz zaudējumu atlīdzību vai līgumsodu. </w:t>
      </w:r>
    </w:p>
    <w:p>
      <w:pPr>
        <w:numPr>
          <w:ilvl w:val="0"/>
          <w:numId w:val="53"/>
        </w:numPr>
        <w:tabs>
          <w:tab w:val="left" w:pos="426"/>
        </w:tabs>
        <w:suppressAutoHyphens/>
        <w:ind w:left="425" w:leftChars="0" w:hanging="425" w:firstLineChars="0"/>
        <w:jc w:val="both"/>
        <w:rPr>
          <w:color w:val="auto"/>
        </w:rPr>
      </w:pPr>
      <w:r>
        <w:rPr>
          <w:color w:val="auto"/>
        </w:rPr>
        <w:t>Izbeidzot Līgumu 8.1.-8.3.punktos noteiktajos gadījumos, Puses sastāda atsevišķu aktu par faktiski kvalitatīvi izpildīto Darba apjomu un to vērtību. Sastādot aktu, Puses ņem vērā izpildītā Darba kvalitāti. Pasūtītājs samaksā Izpildītājam par kvalitatīvi izpildīto Darbu, atbilstoši sastādītajam aktam. Ja faktiski kvalitatīvi izpildītā Darba vērtība ir mazāka par summu, kuru Pasūtītājs jau ir samaksājis Izpildītājam, Izpildītājam ir pienākums atmaksāt pārmaksāto summu. Izdarot samaksu, Pasūtītājs ir tiesīgs ieturēt aprēķināto līgumsodu vai zaudējumu atlīdzību. Puses savstarpējo norēķinu šajā punktā minētajā gadījumā veic 20 (divdesmit) dienu laikā pēc šajā punktā minētā akta parakstīšanas.</w:t>
      </w:r>
    </w:p>
    <w:p>
      <w:pPr>
        <w:numPr>
          <w:ilvl w:val="0"/>
          <w:numId w:val="53"/>
        </w:numPr>
        <w:tabs>
          <w:tab w:val="left" w:pos="426"/>
        </w:tabs>
        <w:suppressAutoHyphens/>
        <w:ind w:left="425" w:leftChars="0" w:hanging="425" w:firstLineChars="0"/>
        <w:jc w:val="both"/>
        <w:rPr>
          <w:color w:val="auto"/>
        </w:rPr>
      </w:pPr>
      <w:r>
        <w:rPr>
          <w:color w:val="auto"/>
        </w:rPr>
        <w:t>Līgums tiek izbeigts pirms termiņa Izpildītāja vainas dēļ, Objekts sakārtojams un atstājams drošā un no trešo personu darbībām pasargātā stāvoklī par Izpildītāja līdzekļiem. Ja Līgums tiek izbeigts pirms termiņa pēc abpusējas vienošanās, Puses vienojas kādā kārtībā tiek segti izdevumi Objekta sakārtošanai drošā un no trešo personu darbībām pasargātā stāvoklī.</w:t>
      </w:r>
    </w:p>
    <w:p>
      <w:pPr>
        <w:pStyle w:val="8"/>
        <w:widowControl w:val="0"/>
        <w:numPr>
          <w:numId w:val="0"/>
        </w:numPr>
        <w:suppressAutoHyphens/>
        <w:ind w:left="-218" w:leftChars="0"/>
        <w:jc w:val="center"/>
        <w:rPr>
          <w:color w:val="auto"/>
        </w:rPr>
      </w:pPr>
      <w:r>
        <w:rPr>
          <w:rFonts w:hint="default"/>
          <w:b/>
          <w:color w:val="auto"/>
        </w:rPr>
        <w:t xml:space="preserve">9. </w:t>
      </w:r>
      <w:r>
        <w:rPr>
          <w:b/>
          <w:color w:val="auto"/>
        </w:rPr>
        <w:t>Nobeiguma noteikumi</w:t>
      </w:r>
    </w:p>
    <w:p>
      <w:pPr>
        <w:pStyle w:val="8"/>
        <w:numPr>
          <w:ilvl w:val="1"/>
          <w:numId w:val="54"/>
        </w:numPr>
        <w:overflowPunct w:val="0"/>
        <w:autoSpaceDE w:val="0"/>
        <w:autoSpaceDN w:val="0"/>
        <w:adjustRightInd w:val="0"/>
        <w:ind w:left="360" w:leftChars="0" w:right="-199" w:hanging="360" w:firstLineChars="0"/>
        <w:jc w:val="both"/>
        <w:textAlignment w:val="baseline"/>
        <w:rPr>
          <w:color w:val="auto"/>
        </w:rPr>
      </w:pPr>
      <w:r>
        <w:rPr>
          <w:color w:val="auto"/>
        </w:rPr>
        <w:t>Visus jautājumus un strīdus, kas radušies Līguma izpildes laikā, Puses cenšas atrisināt sarunu ceļā. Ja vienošanās netiek panākta, strīdi tiek risināti normatīvajos aktos paredzētajā kārtībā tiesā.</w:t>
      </w:r>
    </w:p>
    <w:p>
      <w:pPr>
        <w:pStyle w:val="8"/>
        <w:numPr>
          <w:ilvl w:val="1"/>
          <w:numId w:val="54"/>
        </w:numPr>
        <w:overflowPunct w:val="0"/>
        <w:autoSpaceDE w:val="0"/>
        <w:autoSpaceDN w:val="0"/>
        <w:adjustRightInd w:val="0"/>
        <w:ind w:left="360" w:leftChars="0" w:right="-199" w:hanging="360" w:firstLineChars="0"/>
        <w:jc w:val="both"/>
        <w:textAlignment w:val="baseline"/>
        <w:rPr>
          <w:color w:val="auto"/>
        </w:rPr>
      </w:pPr>
      <w:r>
        <w:rPr>
          <w:rFonts w:eastAsia="Calibri"/>
          <w:color w:val="auto"/>
        </w:rPr>
        <w:t xml:space="preserve"> Korespondence, kas tiek nosūtīta otrai Pusei pa pastu ir uzskatāma par saņemtu 7 (septītajā) dienā, skaitot no tās iesniegšanas pastā. Visai sarakstei un jebkurai informācijai, ko viena Puse iesniedz otrai, jābūt latviešu valodā.</w:t>
      </w:r>
    </w:p>
    <w:p>
      <w:pPr>
        <w:pStyle w:val="8"/>
        <w:numPr>
          <w:ilvl w:val="1"/>
          <w:numId w:val="54"/>
        </w:numPr>
        <w:overflowPunct w:val="0"/>
        <w:autoSpaceDE w:val="0"/>
        <w:autoSpaceDN w:val="0"/>
        <w:adjustRightInd w:val="0"/>
        <w:ind w:left="360" w:leftChars="0" w:right="-199" w:hanging="360" w:firstLineChars="0"/>
        <w:jc w:val="both"/>
        <w:textAlignment w:val="baseline"/>
        <w:rPr>
          <w:color w:val="auto"/>
        </w:rPr>
      </w:pPr>
      <w:r>
        <w:rPr>
          <w:rFonts w:eastAsia="Calibri"/>
          <w:color w:val="auto"/>
        </w:rPr>
        <w:t xml:space="preserve"> Visiem paziņojumiem, ko Puses iesniedz viena otrai saskaņā ar Līgumu, jābūt rakstiskiem un nodotiem personīgi vai ierakstītā vēstulē. Paziņojums, ja vien Līgumā nav paredzēts citādi, tiek uzskatīts par saņemtu dienā, kad tas ir nodots personīgi vai ierakstītas vēstules saņemšanas dienā.</w:t>
      </w:r>
    </w:p>
    <w:p>
      <w:pPr>
        <w:pStyle w:val="8"/>
        <w:numPr>
          <w:ilvl w:val="1"/>
          <w:numId w:val="54"/>
        </w:numPr>
        <w:overflowPunct w:val="0"/>
        <w:autoSpaceDE w:val="0"/>
        <w:autoSpaceDN w:val="0"/>
        <w:adjustRightInd w:val="0"/>
        <w:ind w:left="360" w:leftChars="0" w:right="-199" w:hanging="360" w:firstLineChars="0"/>
        <w:jc w:val="both"/>
        <w:textAlignment w:val="baseline"/>
        <w:rPr>
          <w:color w:val="auto"/>
        </w:rPr>
      </w:pPr>
      <w:r>
        <w:rPr>
          <w:color w:val="auto"/>
        </w:rPr>
        <w:t xml:space="preserve"> Pusei ir pienākums 5 (piecu) dienu laikā rakstveidā paziņot otrai Pusei par šajā Līgumā norādīto rekvizītu un adrešu maiņu, pretējā gadījumā nepaziņojusī Puse nevar atsaukties uz saistību neizpildi, ko izraisījis nepaziņošanas fakts.</w:t>
      </w:r>
    </w:p>
    <w:p>
      <w:pPr>
        <w:pStyle w:val="8"/>
        <w:numPr>
          <w:ilvl w:val="1"/>
          <w:numId w:val="54"/>
        </w:numPr>
        <w:overflowPunct w:val="0"/>
        <w:autoSpaceDE w:val="0"/>
        <w:autoSpaceDN w:val="0"/>
        <w:adjustRightInd w:val="0"/>
        <w:ind w:left="360" w:leftChars="0" w:right="-199" w:hanging="360" w:firstLineChars="0"/>
        <w:jc w:val="both"/>
        <w:textAlignment w:val="baseline"/>
        <w:rPr>
          <w:color w:val="auto"/>
        </w:rPr>
      </w:pPr>
      <w:r>
        <w:rPr>
          <w:color w:val="auto"/>
        </w:rPr>
        <w:t xml:space="preserve"> Katras Puses pārstāvis apliecina, ka tam ir visas tiesības Puses vārdā noslēgt Līgumu.</w:t>
      </w:r>
    </w:p>
    <w:p>
      <w:pPr>
        <w:pStyle w:val="8"/>
        <w:numPr>
          <w:ilvl w:val="1"/>
          <w:numId w:val="54"/>
        </w:numPr>
        <w:overflowPunct w:val="0"/>
        <w:autoSpaceDE w:val="0"/>
        <w:autoSpaceDN w:val="0"/>
        <w:adjustRightInd w:val="0"/>
        <w:ind w:left="360" w:leftChars="0" w:right="-199" w:hanging="360" w:firstLineChars="0"/>
        <w:jc w:val="both"/>
        <w:textAlignment w:val="baseline"/>
        <w:rPr>
          <w:color w:val="auto"/>
        </w:rPr>
      </w:pPr>
      <w:r>
        <w:rPr>
          <w:color w:val="auto"/>
        </w:rPr>
        <w:t xml:space="preserve"> Puses apliecina, ka ir iepazinušās ar Līguma noteikumiem un atzīst tos par saprotamiem, saistošiem un izpildāmiem. Izpildītājs apliecina, ka tam ir visas nepieciešamās zināšanas, pieredze, darbaspēks un materiāltehniskais nodrošinājums Darba veikšanai.</w:t>
      </w:r>
    </w:p>
    <w:p>
      <w:pPr>
        <w:pStyle w:val="8"/>
        <w:numPr>
          <w:ilvl w:val="1"/>
          <w:numId w:val="54"/>
        </w:numPr>
        <w:overflowPunct w:val="0"/>
        <w:autoSpaceDE w:val="0"/>
        <w:autoSpaceDN w:val="0"/>
        <w:adjustRightInd w:val="0"/>
        <w:ind w:left="360" w:leftChars="0" w:right="-199" w:hanging="360" w:firstLineChars="0"/>
        <w:jc w:val="both"/>
        <w:textAlignment w:val="baseline"/>
        <w:rPr>
          <w:color w:val="auto"/>
        </w:rPr>
      </w:pPr>
      <w:r>
        <w:rPr>
          <w:color w:val="auto"/>
        </w:rPr>
        <w:t xml:space="preserve"> Pasūtītāja pilnvarotā persona Līguma izpildes laikā ir</w:t>
      </w:r>
      <w:r>
        <w:rPr>
          <w:rFonts w:hint="default"/>
          <w:color w:val="auto"/>
        </w:rPr>
        <w:t xml:space="preserve"> </w:t>
      </w:r>
      <w:r>
        <w:rPr>
          <w:rFonts w:eastAsia="Lucida Sans Unicode" w:cs="Times New Roman"/>
          <w:bCs/>
          <w:color w:val="auto"/>
          <w:kern w:val="1"/>
          <w:szCs w:val="20"/>
          <w:lang w:val="en-US"/>
        </w:rPr>
        <w:t>namu pārzin</w:t>
      </w:r>
      <w:r>
        <w:rPr>
          <w:rFonts w:hint="default" w:eastAsia="Lucida Sans Unicode" w:cs="Times New Roman"/>
          <w:bCs/>
          <w:color w:val="auto"/>
          <w:kern w:val="1"/>
          <w:szCs w:val="20"/>
        </w:rPr>
        <w:t>is</w:t>
      </w:r>
      <w:r>
        <w:rPr>
          <w:rFonts w:eastAsia="Lucida Sans Unicode" w:cs="Times New Roman"/>
          <w:bCs/>
          <w:color w:val="auto"/>
          <w:kern w:val="1"/>
          <w:szCs w:val="20"/>
          <w:lang w:val="en-US"/>
        </w:rPr>
        <w:t xml:space="preserve"> </w:t>
      </w:r>
      <w:r>
        <w:rPr>
          <w:rFonts w:hint="default" w:eastAsia="Lucida Sans Unicode" w:cs="Times New Roman"/>
          <w:bCs/>
          <w:color w:val="auto"/>
          <w:kern w:val="1"/>
          <w:szCs w:val="20"/>
        </w:rPr>
        <w:t>Edgars Kvēvs</w:t>
      </w:r>
      <w:r>
        <w:rPr>
          <w:rFonts w:eastAsia="Lucida Sans Unicode" w:cs="Times New Roman"/>
          <w:bCs/>
          <w:color w:val="auto"/>
          <w:kern w:val="1"/>
          <w:szCs w:val="20"/>
          <w:lang w:val="en-US"/>
        </w:rPr>
        <w:t xml:space="preserve">, mobilais telefons </w:t>
      </w:r>
      <w:r>
        <w:rPr>
          <w:rFonts w:hint="default" w:eastAsia="Lucida Sans Unicode" w:cs="Times New Roman"/>
          <w:bCs/>
          <w:color w:val="auto"/>
          <w:kern w:val="1"/>
          <w:szCs w:val="20"/>
        </w:rPr>
        <w:t>63722463</w:t>
      </w:r>
      <w:r>
        <w:rPr>
          <w:rFonts w:eastAsia="Lucida Sans Unicode" w:cs="Times New Roman"/>
          <w:bCs/>
          <w:color w:val="auto"/>
          <w:kern w:val="1"/>
          <w:szCs w:val="20"/>
          <w:lang w:val="en-US"/>
        </w:rPr>
        <w:t xml:space="preserve">, e-pasts: </w:t>
      </w:r>
      <w:r>
        <w:rPr>
          <w:color w:val="auto"/>
        </w:rPr>
        <w:fldChar w:fldCharType="begin"/>
      </w:r>
      <w:r>
        <w:rPr>
          <w:color w:val="auto"/>
        </w:rPr>
        <w:instrText xml:space="preserve">HYPERLINK "mailto:namuparzinis@dobelesnamsaimnieks.lv" </w:instrText>
      </w:r>
      <w:r>
        <w:rPr>
          <w:color w:val="auto"/>
        </w:rPr>
        <w:fldChar w:fldCharType="separate"/>
      </w:r>
      <w:r>
        <w:rPr>
          <w:rStyle w:val="7"/>
          <w:rFonts w:eastAsia="Calibri" w:cs="Times New Roman"/>
          <w:color w:val="auto"/>
          <w:kern w:val="1"/>
          <w:szCs w:val="20"/>
          <w:lang w:val="en-US" w:bidi="en-US"/>
        </w:rPr>
        <w:t>namuparzinis@dobelesnamsaimnieks.lv</w:t>
      </w:r>
      <w:r>
        <w:rPr>
          <w:color w:val="auto"/>
        </w:rPr>
        <w:fldChar w:fldCharType="end"/>
      </w:r>
      <w:r>
        <w:rPr>
          <w:rFonts w:eastAsia="Lucida Sans Unicode" w:cs="Times New Roman"/>
          <w:color w:val="auto"/>
          <w:kern w:val="1"/>
          <w:szCs w:val="20"/>
          <w:lang w:val="en-US"/>
        </w:rPr>
        <w:t>,</w:t>
      </w:r>
      <w:r>
        <w:rPr>
          <w:rFonts w:hint="default" w:eastAsia="Lucida Sans Unicode" w:cs="Times New Roman"/>
          <w:color w:val="auto"/>
          <w:kern w:val="1"/>
          <w:szCs w:val="20"/>
        </w:rPr>
        <w:t xml:space="preserve"> </w:t>
      </w:r>
      <w:r>
        <w:rPr>
          <w:rFonts w:hint="default" w:ascii="Times New Roman" w:hAnsi="Times New Roman" w:cs="Times New Roman"/>
          <w:bCs/>
          <w:color w:val="auto"/>
          <w:sz w:val="24"/>
          <w:szCs w:val="24"/>
          <w:lang w:eastAsia="ar-SA"/>
        </w:rPr>
        <w:t>Tehniskā</w:t>
      </w:r>
      <w:r>
        <w:rPr>
          <w:rFonts w:hint="default" w:cs="Times New Roman"/>
          <w:bCs/>
          <w:color w:val="auto"/>
          <w:sz w:val="24"/>
          <w:szCs w:val="24"/>
          <w:lang w:eastAsia="ar-SA"/>
        </w:rPr>
        <w:t>s</w:t>
      </w:r>
      <w:r>
        <w:rPr>
          <w:rFonts w:hint="default" w:ascii="Times New Roman" w:hAnsi="Times New Roman" w:cs="Times New Roman"/>
          <w:bCs/>
          <w:color w:val="auto"/>
          <w:sz w:val="24"/>
          <w:szCs w:val="24"/>
          <w:lang w:eastAsia="ar-SA"/>
        </w:rPr>
        <w:t xml:space="preserve"> daļas vadītājs Jānis Kreicbergs, mobilais telefons 28347204, e-pasts: </w:t>
      </w:r>
      <w:r>
        <w:rPr>
          <w:rFonts w:hint="default" w:ascii="Times New Roman" w:hAnsi="Times New Roman" w:cs="Times New Roman"/>
          <w:i w:val="0"/>
          <w:iCs w:val="0"/>
          <w:color w:val="auto"/>
          <w:sz w:val="24"/>
          <w:szCs w:val="24"/>
        </w:rPr>
        <w:fldChar w:fldCharType="begin"/>
      </w:r>
      <w:r>
        <w:rPr>
          <w:rFonts w:hint="default" w:ascii="Times New Roman" w:hAnsi="Times New Roman" w:cs="Times New Roman"/>
          <w:i w:val="0"/>
          <w:iCs w:val="0"/>
          <w:color w:val="auto"/>
          <w:sz w:val="24"/>
          <w:szCs w:val="24"/>
        </w:rPr>
        <w:instrText xml:space="preserve">HYPERLINK "mailto:raimonds.malinovskis@dobelesnamsaimnieks.lv" </w:instrText>
      </w:r>
      <w:r>
        <w:rPr>
          <w:rFonts w:hint="default" w:ascii="Times New Roman" w:hAnsi="Times New Roman" w:cs="Times New Roman"/>
          <w:i w:val="0"/>
          <w:iCs w:val="0"/>
          <w:color w:val="auto"/>
          <w:sz w:val="24"/>
          <w:szCs w:val="24"/>
        </w:rPr>
        <w:fldChar w:fldCharType="separate"/>
      </w:r>
      <w:r>
        <w:rPr>
          <w:rStyle w:val="7"/>
          <w:rFonts w:hint="default" w:ascii="Times New Roman" w:hAnsi="Times New Roman" w:cs="Times New Roman"/>
          <w:bCs/>
          <w:i w:val="0"/>
          <w:iCs w:val="0"/>
          <w:color w:val="auto"/>
          <w:sz w:val="24"/>
          <w:szCs w:val="24"/>
          <w:lang w:eastAsia="ar-SA"/>
        </w:rPr>
        <w:t>janis.kreicbergs@dobelesnamsaimnieks.lv</w:t>
      </w:r>
      <w:r>
        <w:rPr>
          <w:rFonts w:hint="default" w:ascii="Times New Roman" w:hAnsi="Times New Roman" w:cs="Times New Roman"/>
          <w:i w:val="0"/>
          <w:iCs w:val="0"/>
          <w:color w:val="auto"/>
          <w:sz w:val="24"/>
          <w:szCs w:val="24"/>
        </w:rPr>
        <w:fldChar w:fldCharType="end"/>
      </w:r>
    </w:p>
    <w:p>
      <w:pPr>
        <w:pStyle w:val="8"/>
        <w:numPr>
          <w:ilvl w:val="1"/>
          <w:numId w:val="54"/>
        </w:numPr>
        <w:overflowPunct w:val="0"/>
        <w:autoSpaceDE w:val="0"/>
        <w:autoSpaceDN w:val="0"/>
        <w:adjustRightInd w:val="0"/>
        <w:ind w:left="360" w:leftChars="0" w:right="-199" w:hanging="360" w:firstLineChars="0"/>
        <w:jc w:val="both"/>
        <w:textAlignment w:val="baseline"/>
        <w:rPr>
          <w:color w:val="auto"/>
        </w:rPr>
      </w:pPr>
      <w:r>
        <w:rPr>
          <w:color w:val="auto"/>
        </w:rPr>
        <w:t xml:space="preserve"> Izpildītāja pilnvarotā persona Līguma izpildes laikā ir________________, mob.tālr._____, e-pasts: ___________.</w:t>
      </w:r>
    </w:p>
    <w:p>
      <w:pPr>
        <w:pStyle w:val="8"/>
        <w:numPr>
          <w:ilvl w:val="1"/>
          <w:numId w:val="54"/>
        </w:numPr>
        <w:overflowPunct w:val="0"/>
        <w:autoSpaceDE w:val="0"/>
        <w:autoSpaceDN w:val="0"/>
        <w:adjustRightInd w:val="0"/>
        <w:ind w:left="360" w:leftChars="0" w:right="-199" w:hanging="360" w:firstLineChars="0"/>
        <w:jc w:val="both"/>
        <w:textAlignment w:val="baseline"/>
        <w:rPr>
          <w:color w:val="auto"/>
        </w:rPr>
      </w:pPr>
      <w:r>
        <w:rPr>
          <w:color w:val="auto"/>
        </w:rPr>
        <w:t xml:space="preserve"> Līgums ir sagatavots uz ___ (___) lapām, 2 (divos) identiskos eksemplāros ar vienādu juridisko spēku, no kuriem viens glabājas pie Pasūtītāja, bet otrs pie Izpildītāja.</w:t>
      </w:r>
    </w:p>
    <w:p>
      <w:pPr>
        <w:pStyle w:val="8"/>
        <w:numPr>
          <w:ilvl w:val="1"/>
          <w:numId w:val="54"/>
        </w:numPr>
        <w:tabs>
          <w:tab w:val="left" w:pos="426"/>
        </w:tabs>
        <w:overflowPunct w:val="0"/>
        <w:autoSpaceDE w:val="0"/>
        <w:autoSpaceDN w:val="0"/>
        <w:adjustRightInd w:val="0"/>
        <w:ind w:left="360" w:leftChars="0" w:right="-199" w:hanging="360" w:firstLineChars="0"/>
        <w:jc w:val="both"/>
        <w:textAlignment w:val="baseline"/>
        <w:rPr>
          <w:color w:val="auto"/>
        </w:rPr>
      </w:pPr>
      <w:r>
        <w:rPr>
          <w:color w:val="auto"/>
        </w:rPr>
        <w:t>Līgumam ir sekojuši pielikumi:</w:t>
      </w:r>
    </w:p>
    <w:p>
      <w:pPr>
        <w:pStyle w:val="8"/>
        <w:numPr>
          <w:ilvl w:val="0"/>
          <w:numId w:val="55"/>
        </w:numPr>
        <w:tabs>
          <w:tab w:val="clear" w:pos="425"/>
        </w:tabs>
        <w:overflowPunct w:val="0"/>
        <w:autoSpaceDE w:val="0"/>
        <w:autoSpaceDN w:val="0"/>
        <w:adjustRightInd w:val="0"/>
        <w:ind w:left="425" w:leftChars="0" w:right="-199" w:firstLine="55" w:firstLineChars="0"/>
        <w:jc w:val="both"/>
        <w:textAlignment w:val="baseline"/>
        <w:rPr>
          <w:color w:val="auto"/>
        </w:rPr>
      </w:pPr>
      <w:r>
        <w:rPr>
          <w:color w:val="auto"/>
        </w:rPr>
        <w:t>1.pielikums - Pieteikums dalībai iepirkumā</w:t>
      </w:r>
      <w:r>
        <w:rPr>
          <w:rFonts w:hint="default"/>
          <w:color w:val="auto"/>
        </w:rPr>
        <w:t>.</w:t>
      </w:r>
    </w:p>
    <w:p>
      <w:pPr>
        <w:pStyle w:val="8"/>
        <w:numPr>
          <w:ilvl w:val="0"/>
          <w:numId w:val="55"/>
        </w:numPr>
        <w:tabs>
          <w:tab w:val="clear" w:pos="425"/>
        </w:tabs>
        <w:overflowPunct w:val="0"/>
        <w:autoSpaceDE w:val="0"/>
        <w:autoSpaceDN w:val="0"/>
        <w:adjustRightInd w:val="0"/>
        <w:ind w:left="425" w:leftChars="0" w:right="-199" w:firstLine="55" w:firstLineChars="0"/>
        <w:jc w:val="both"/>
        <w:textAlignment w:val="baseline"/>
        <w:rPr>
          <w:color w:val="auto"/>
        </w:rPr>
      </w:pPr>
      <w:r>
        <w:rPr>
          <w:rFonts w:hint="default"/>
          <w:color w:val="auto"/>
        </w:rPr>
        <w:t>2</w:t>
      </w:r>
      <w:r>
        <w:rPr>
          <w:color w:val="auto"/>
        </w:rPr>
        <w:t xml:space="preserve">.pielikums </w:t>
      </w:r>
      <w:r>
        <w:rPr>
          <w:rFonts w:hint="default"/>
          <w:color w:val="auto"/>
        </w:rPr>
        <w:t>- F</w:t>
      </w:r>
      <w:r>
        <w:rPr>
          <w:color w:val="auto"/>
        </w:rPr>
        <w:t>inanšu piedāvājums</w:t>
      </w:r>
      <w:r>
        <w:rPr>
          <w:rFonts w:hint="default"/>
          <w:color w:val="auto"/>
        </w:rPr>
        <w:t>.</w:t>
      </w:r>
    </w:p>
    <w:p>
      <w:pPr>
        <w:pStyle w:val="8"/>
        <w:numPr>
          <w:ilvl w:val="0"/>
          <w:numId w:val="55"/>
        </w:numPr>
        <w:tabs>
          <w:tab w:val="clear" w:pos="425"/>
        </w:tabs>
        <w:overflowPunct w:val="0"/>
        <w:autoSpaceDE w:val="0"/>
        <w:autoSpaceDN w:val="0"/>
        <w:adjustRightInd w:val="0"/>
        <w:ind w:left="425" w:leftChars="0" w:right="-199" w:firstLine="55" w:firstLineChars="0"/>
        <w:jc w:val="both"/>
        <w:textAlignment w:val="baseline"/>
        <w:rPr>
          <w:color w:val="auto"/>
        </w:rPr>
      </w:pPr>
      <w:r>
        <w:rPr>
          <w:rFonts w:hint="default"/>
          <w:color w:val="auto"/>
        </w:rPr>
        <w:t>3</w:t>
      </w:r>
      <w:r>
        <w:rPr>
          <w:color w:val="auto"/>
        </w:rPr>
        <w:t>.pielikums - Darbu izpildes laika grafiks</w:t>
      </w:r>
      <w:r>
        <w:rPr>
          <w:rFonts w:hint="default"/>
          <w:color w:val="auto"/>
        </w:rPr>
        <w:t>.</w:t>
      </w:r>
    </w:p>
    <w:p>
      <w:pPr>
        <w:pStyle w:val="8"/>
        <w:numPr>
          <w:ilvl w:val="0"/>
          <w:numId w:val="55"/>
        </w:numPr>
        <w:tabs>
          <w:tab w:val="clear" w:pos="425"/>
        </w:tabs>
        <w:overflowPunct w:val="0"/>
        <w:autoSpaceDE w:val="0"/>
        <w:autoSpaceDN w:val="0"/>
        <w:adjustRightInd w:val="0"/>
        <w:ind w:left="425" w:leftChars="0" w:right="-199" w:firstLine="55" w:firstLineChars="0"/>
        <w:jc w:val="both"/>
        <w:textAlignment w:val="baseline"/>
        <w:rPr>
          <w:color w:val="auto"/>
        </w:rPr>
      </w:pPr>
      <w:r>
        <w:rPr>
          <w:rFonts w:hint="default"/>
          <w:color w:val="auto"/>
        </w:rPr>
        <w:t>4</w:t>
      </w:r>
      <w:r>
        <w:rPr>
          <w:color w:val="auto"/>
        </w:rPr>
        <w:t>.pielikums - Tehniskais piedāvājums, tai skaitā tehniskā specifikācija.</w:t>
      </w:r>
    </w:p>
    <w:p>
      <w:pPr>
        <w:numPr>
          <w:numId w:val="0"/>
        </w:numPr>
        <w:suppressAutoHyphens/>
        <w:ind w:leftChars="0"/>
        <w:jc w:val="center"/>
        <w:rPr>
          <w:b/>
          <w:color w:val="auto"/>
        </w:rPr>
      </w:pPr>
      <w:r>
        <w:rPr>
          <w:rFonts w:hint="default"/>
          <w:b/>
          <w:color w:val="auto"/>
        </w:rPr>
        <w:t xml:space="preserve">10. </w:t>
      </w:r>
      <w:r>
        <w:rPr>
          <w:b/>
          <w:color w:val="auto"/>
        </w:rPr>
        <w:t>Pušu adrese, rekvizīti, paraksti un zīmogs</w:t>
      </w:r>
    </w:p>
    <w:p>
      <w:pPr>
        <w:suppressAutoHyphens/>
        <w:jc w:val="center"/>
        <w:rPr>
          <w:b/>
          <w:color w:val="auto"/>
        </w:rPr>
      </w:pPr>
    </w:p>
    <w:p>
      <w:pPr>
        <w:tabs>
          <w:tab w:val="left" w:pos="720"/>
        </w:tabs>
        <w:suppressAutoHyphens/>
        <w:ind w:firstLine="567"/>
        <w:rPr>
          <w:color w:val="auto"/>
          <w:lang w:eastAsia="ar-SA"/>
        </w:rPr>
      </w:pPr>
      <w:r>
        <w:rPr>
          <w:b/>
          <w:bCs/>
          <w:color w:val="auto"/>
          <w:lang w:eastAsia="ar-SA"/>
        </w:rPr>
        <w:t>Pasūtītājs:                                                                   Izpildītājs:</w:t>
      </w:r>
    </w:p>
    <w:p>
      <w:pPr>
        <w:tabs>
          <w:tab w:val="left" w:pos="720"/>
        </w:tabs>
        <w:suppressAutoHyphens/>
        <w:ind w:firstLine="567"/>
        <w:rPr>
          <w:color w:val="FF0000"/>
          <w:lang w:eastAsia="ar-SA"/>
        </w:rPr>
      </w:pPr>
    </w:p>
    <w:p>
      <w:pPr>
        <w:tabs>
          <w:tab w:val="left" w:pos="720"/>
        </w:tabs>
        <w:suppressAutoHyphens/>
        <w:ind w:firstLine="567"/>
        <w:rPr>
          <w:color w:val="FF0000"/>
          <w:lang w:eastAsia="ar-SA"/>
        </w:rPr>
      </w:pPr>
    </w:p>
    <w:tbl>
      <w:tblPr>
        <w:tblW w:w="9112"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 w:type="dxa"/>
          <w:right w:w="10" w:type="dxa"/>
        </w:tblCellMar>
      </w:tblPr>
      <w:tblGrid>
        <w:gridCol w:w="4516"/>
        <w:gridCol w:w="45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1889" w:hRule="atLeast"/>
        </w:trPr>
        <w:tc>
          <w:tcPr>
            <w:tcW w:w="4516" w:type="dxa"/>
            <w:shd w:val="clear" w:color="auto" w:fill="FFFFFF"/>
            <w:tcMar>
              <w:top w:w="0" w:type="dxa"/>
              <w:left w:w="108" w:type="dxa"/>
              <w:bottom w:w="0" w:type="dxa"/>
              <w:right w:w="108" w:type="dxa"/>
            </w:tcMar>
            <w:vAlign w:val="top"/>
          </w:tcPr>
          <w:p>
            <w:pPr>
              <w:tabs>
                <w:tab w:val="left" w:pos="810"/>
              </w:tabs>
              <w:suppressAutoHyphens/>
              <w:spacing w:after="0" w:line="240" w:lineRule="auto"/>
              <w:jc w:val="both"/>
              <w:rPr>
                <w:rFonts w:eastAsia="Times New Roman" w:cs="Times New Roman"/>
                <w:color w:val="auto"/>
                <w:szCs w:val="24"/>
                <w:lang w:eastAsia="ar-SA"/>
              </w:rPr>
            </w:pPr>
            <w:r>
              <w:rPr>
                <w:rFonts w:eastAsia="Times New Roman" w:cs="Times New Roman"/>
                <w:b/>
                <w:bCs/>
                <w:color w:val="auto"/>
                <w:szCs w:val="24"/>
                <w:lang w:eastAsia="ar-SA"/>
              </w:rPr>
              <w:t>SIA „DOBELES NAMSAIMNIEKS”</w:t>
            </w:r>
            <w:r>
              <w:rPr>
                <w:rFonts w:eastAsia="Times New Roman" w:cs="Times New Roman"/>
                <w:color w:val="auto"/>
                <w:szCs w:val="24"/>
                <w:lang w:eastAsia="ar-SA"/>
              </w:rPr>
              <w:t xml:space="preserve"> </w:t>
            </w:r>
          </w:p>
          <w:p>
            <w:pPr>
              <w:tabs>
                <w:tab w:val="left" w:pos="810"/>
              </w:tabs>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Reģ. Nr. 48503021348</w:t>
            </w:r>
          </w:p>
          <w:p>
            <w:pPr>
              <w:tabs>
                <w:tab w:val="left" w:pos="810"/>
              </w:tabs>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Adrese: Zaļā iela 3, Dobele,</w:t>
            </w:r>
          </w:p>
          <w:p>
            <w:pPr>
              <w:tabs>
                <w:tab w:val="left" w:pos="810"/>
              </w:tabs>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Dobeles novads, LV-3701</w:t>
            </w:r>
          </w:p>
          <w:p>
            <w:pPr>
              <w:tabs>
                <w:tab w:val="left" w:pos="810"/>
              </w:tabs>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Konts: LV 91UNLA0006000508407</w:t>
            </w:r>
          </w:p>
          <w:p>
            <w:pPr>
              <w:tabs>
                <w:tab w:val="left" w:pos="810"/>
              </w:tabs>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Banka: AS „SEB banka”</w:t>
            </w: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color w:val="auto"/>
                <w:szCs w:val="24"/>
                <w:lang w:eastAsia="ar-SA"/>
              </w:rPr>
            </w:pP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color w:val="auto"/>
                <w:szCs w:val="24"/>
                <w:lang w:eastAsia="ar-SA"/>
              </w:rPr>
            </w:pP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color w:val="auto"/>
                <w:szCs w:val="24"/>
                <w:lang w:eastAsia="ar-SA"/>
              </w:rPr>
            </w:pP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color w:val="auto"/>
                <w:szCs w:val="24"/>
                <w:lang w:eastAsia="ar-SA"/>
              </w:rPr>
            </w:pPr>
            <w:r>
              <w:rPr>
                <w:rFonts w:eastAsia="Arial" w:cs="Times New Roman"/>
                <w:color w:val="auto"/>
                <w:szCs w:val="24"/>
                <w:lang w:eastAsia="ar-SA"/>
              </w:rPr>
              <w:t>________________________________</w:t>
            </w: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rPr>
                <w:rFonts w:ascii="!Neo" w:hAnsi="!Neo"/>
                <w:color w:val="auto"/>
                <w:sz w:val="20"/>
                <w:szCs w:val="20"/>
              </w:rPr>
            </w:pPr>
            <w:r>
              <w:rPr>
                <w:rFonts w:eastAsia="Arial" w:cs="Times New Roman"/>
                <w:color w:val="auto"/>
                <w:szCs w:val="24"/>
                <w:lang w:eastAsia="ar-SA"/>
              </w:rPr>
              <w:t xml:space="preserve">                 (Jānis Audzēvičs)</w:t>
            </w:r>
          </w:p>
        </w:tc>
        <w:tc>
          <w:tcPr>
            <w:tcW w:w="4596" w:type="dxa"/>
            <w:shd w:val="clear" w:color="auto" w:fill="FFFFFF"/>
            <w:tcMar>
              <w:top w:w="0" w:type="dxa"/>
              <w:left w:w="108" w:type="dxa"/>
              <w:bottom w:w="0" w:type="dxa"/>
              <w:right w:w="108" w:type="dxa"/>
            </w:tcMar>
            <w:vAlign w:val="top"/>
          </w:tcPr>
          <w:p>
            <w:pPr>
              <w:tabs>
                <w:tab w:val="left" w:pos="720"/>
                <w:tab w:val="left" w:pos="810"/>
              </w:tabs>
              <w:suppressAutoHyphens/>
              <w:ind w:firstLine="567"/>
              <w:jc w:val="both"/>
              <w:rPr>
                <w:color w:val="auto"/>
                <w:sz w:val="26"/>
                <w:szCs w:val="20"/>
                <w:lang w:eastAsia="ar-SA"/>
              </w:rPr>
            </w:pPr>
            <w:r>
              <w:rPr>
                <w:b/>
                <w:color w:val="auto"/>
                <w:lang w:eastAsia="ar-SA"/>
              </w:rPr>
              <w:t xml:space="preserve">______________________________       </w:t>
            </w:r>
          </w:p>
          <w:p>
            <w:pPr>
              <w:tabs>
                <w:tab w:val="left" w:pos="720"/>
                <w:tab w:val="left" w:pos="810"/>
              </w:tabs>
              <w:suppressAutoHyphens/>
              <w:ind w:firstLine="567"/>
              <w:jc w:val="both"/>
              <w:rPr>
                <w:color w:val="auto"/>
                <w:sz w:val="26"/>
                <w:szCs w:val="20"/>
                <w:lang w:eastAsia="ar-SA"/>
              </w:rPr>
            </w:pPr>
            <w:r>
              <w:rPr>
                <w:color w:val="auto"/>
                <w:lang w:eastAsia="ar-SA"/>
              </w:rPr>
              <w:t>Reģ. Nr._______________________</w:t>
            </w:r>
          </w:p>
          <w:p>
            <w:pPr>
              <w:tabs>
                <w:tab w:val="left" w:pos="720"/>
                <w:tab w:val="left" w:pos="810"/>
              </w:tabs>
              <w:suppressAutoHyphens/>
              <w:ind w:firstLine="567"/>
              <w:jc w:val="both"/>
              <w:rPr>
                <w:color w:val="auto"/>
                <w:sz w:val="26"/>
                <w:szCs w:val="20"/>
                <w:lang w:eastAsia="ar-SA"/>
              </w:rPr>
            </w:pPr>
            <w:r>
              <w:rPr>
                <w:rFonts w:hint="default"/>
                <w:color w:val="auto"/>
                <w:lang w:eastAsia="ar-SA"/>
              </w:rPr>
              <w:t>Adrese:</w:t>
            </w:r>
            <w:r>
              <w:rPr>
                <w:color w:val="auto"/>
                <w:lang w:eastAsia="ar-SA"/>
              </w:rPr>
              <w:t>_________________________</w:t>
            </w:r>
          </w:p>
          <w:p>
            <w:pPr>
              <w:tabs>
                <w:tab w:val="left" w:pos="720"/>
                <w:tab w:val="left" w:pos="810"/>
              </w:tabs>
              <w:suppressAutoHyphens/>
              <w:ind w:firstLine="567"/>
              <w:jc w:val="both"/>
              <w:rPr>
                <w:color w:val="auto"/>
                <w:sz w:val="26"/>
                <w:szCs w:val="20"/>
                <w:lang w:eastAsia="ar-SA"/>
              </w:rPr>
            </w:pPr>
            <w:r>
              <w:rPr>
                <w:color w:val="auto"/>
                <w:lang w:eastAsia="ar-SA"/>
              </w:rPr>
              <w:t>Konts: ________________________</w:t>
            </w:r>
          </w:p>
          <w:p>
            <w:pPr>
              <w:tabs>
                <w:tab w:val="left" w:pos="720"/>
                <w:tab w:val="left" w:pos="810"/>
              </w:tabs>
              <w:suppressAutoHyphens/>
              <w:ind w:firstLine="567"/>
              <w:jc w:val="both"/>
              <w:rPr>
                <w:color w:val="auto"/>
                <w:sz w:val="26"/>
                <w:szCs w:val="20"/>
                <w:lang w:eastAsia="ar-SA"/>
              </w:rPr>
            </w:pPr>
            <w:r>
              <w:rPr>
                <w:rFonts w:hint="default"/>
                <w:color w:val="auto"/>
                <w:lang w:eastAsia="ar-SA"/>
              </w:rPr>
              <w:t>Banka:</w:t>
            </w:r>
            <w:r>
              <w:rPr>
                <w:color w:val="auto"/>
                <w:lang w:eastAsia="ar-SA"/>
              </w:rPr>
              <w:t>_________________________</w:t>
            </w:r>
          </w:p>
          <w:p>
            <w:pPr>
              <w:tabs>
                <w:tab w:val="left" w:pos="720"/>
                <w:tab w:val="left" w:pos="810"/>
              </w:tabs>
              <w:suppressAutoHyphens/>
              <w:ind w:firstLine="567"/>
              <w:jc w:val="both"/>
              <w:rPr>
                <w:color w:val="auto"/>
                <w:sz w:val="26"/>
                <w:szCs w:val="20"/>
                <w:lang w:eastAsia="ar-SA"/>
              </w:rPr>
            </w:pPr>
            <w:r>
              <w:rPr>
                <w:rFonts w:hint="default"/>
                <w:color w:val="auto"/>
                <w:lang w:eastAsia="ar-SA"/>
              </w:rPr>
              <w:t xml:space="preserve"> </w:t>
            </w:r>
            <w:bookmarkStart w:id="33" w:name="_GoBack"/>
            <w:bookmarkEnd w:id="33"/>
            <w:r>
              <w:rPr>
                <w:color w:val="auto"/>
                <w:lang w:eastAsia="ar-SA"/>
              </w:rPr>
              <w:t xml:space="preserve">_______________________ </w:t>
            </w:r>
          </w:p>
        </w:tc>
      </w:tr>
    </w:tbl>
    <w:p>
      <w:pPr>
        <w:suppressAutoHyphens/>
        <w:jc w:val="center"/>
        <w:rPr>
          <w:b/>
          <w:color w:val="FF0000"/>
        </w:rPr>
      </w:pPr>
    </w:p>
    <w:p>
      <w:pPr>
        <w:rPr>
          <w:color w:val="FF0000"/>
        </w:rPr>
      </w:pPr>
    </w:p>
    <w:p>
      <w:pPr>
        <w:rPr>
          <w:rFonts w:cs="Times New Roman"/>
          <w:b/>
          <w:bCs/>
          <w:color w:val="FF0000"/>
          <w:szCs w:val="24"/>
        </w:rPr>
      </w:pPr>
    </w:p>
    <w:sectPr>
      <w:pgSz w:w="11906" w:h="16838"/>
      <w:pgMar w:top="1134" w:right="1134" w:bottom="1134" w:left="1701" w:header="708" w:footer="709" w:gutter="0"/>
      <w:paperSrc w:first="0" w:oth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BA"/>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BA"/>
    <w:family w:val="modern"/>
    <w:pitch w:val="default"/>
    <w:sig w:usb0="E0002AFF" w:usb1="C0007843" w:usb2="00000009" w:usb3="00000000" w:csb0="400001FF" w:csb1="FFFF0000"/>
  </w:font>
  <w:font w:name="Calibri">
    <w:panose1 w:val="020F0502020204030204"/>
    <w:charset w:val="BA"/>
    <w:family w:val="auto"/>
    <w:pitch w:val="default"/>
    <w:sig w:usb0="E00002FF" w:usb1="4000ACFF" w:usb2="00000001" w:usb3="00000000" w:csb0="2000019F" w:csb1="00000000"/>
  </w:font>
  <w:font w:name="Segoe UI">
    <w:panose1 w:val="020B0502040204020203"/>
    <w:charset w:val="BA"/>
    <w:family w:val="auto"/>
    <w:pitch w:val="default"/>
    <w:sig w:usb0="E10022FF" w:usb1="C000E47F" w:usb2="00000029" w:usb3="00000000" w:csb0="200001DF" w:csb1="20000000"/>
  </w:font>
  <w:font w:name="Lucida Sans Unicode">
    <w:panose1 w:val="020B0602030504020204"/>
    <w:charset w:val="BA"/>
    <w:family w:val="auto"/>
    <w:pitch w:val="default"/>
    <w:sig w:usb0="80001AFF" w:usb1="0000396B" w:usb2="00000000" w:usb3="00000000" w:csb0="200000BF" w:csb1="D7F70000"/>
  </w:font>
  <w:font w:name="Times-Roman">
    <w:altName w:val="Times New Roman"/>
    <w:panose1 w:val="00000000000000000000"/>
    <w:charset w:val="00"/>
    <w:family w:val="auto"/>
    <w:pitch w:val="default"/>
    <w:sig w:usb0="00000000" w:usb1="00000000" w:usb2="00000000" w:usb3="00000000" w:csb0="00040001" w:csb1="00000000"/>
  </w:font>
  <w:font w:name="26krzlcoljlsoja">
    <w:altName w:val="Times New Roman"/>
    <w:panose1 w:val="00000000000000000000"/>
    <w:charset w:val="EE"/>
    <w:family w:val="auto"/>
    <w:pitch w:val="default"/>
    <w:sig w:usb0="00000000" w:usb1="00000000" w:usb2="00000000" w:usb3="00000000" w:csb0="00040001" w:csb1="00000000"/>
  </w:font>
  <w:font w:name="!Neo">
    <w:altName w:val="Cambria"/>
    <w:panose1 w:val="00000000000000000000"/>
    <w:charset w:val="00"/>
    <w:family w:val="auto"/>
    <w:pitch w:val="default"/>
    <w:sig w:usb0="00000000" w:usb1="00000000" w:usb2="00000000" w:usb3="00000000" w:csb0="00040001" w:csb1="00000000"/>
  </w:font>
  <w:font w:name="Cambria">
    <w:panose1 w:val="02040503050406030204"/>
    <w:charset w:val="00"/>
    <w:family w:val="auto"/>
    <w:pitch w:val="default"/>
    <w:sig w:usb0="E00002FF" w:usb1="400004FF"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374157969">
    <w:nsid w:val="164D3291"/>
    <w:multiLevelType w:val="multilevel"/>
    <w:tmpl w:val="164D3291"/>
    <w:lvl w:ilvl="0" w:tentative="1">
      <w:start w:val="1"/>
      <w:numFmt w:val="lowerLetter"/>
      <w:lvlText w:val="%1)"/>
      <w:lvlJc w:val="left"/>
      <w:pPr>
        <w:tabs>
          <w:tab w:val="left" w:pos="2040"/>
        </w:tabs>
        <w:ind w:left="2040" w:hanging="360"/>
      </w:pPr>
      <w:rPr>
        <w:rFonts w:hint="default"/>
      </w:rPr>
    </w:lvl>
    <w:lvl w:ilvl="1" w:tentative="1">
      <w:start w:val="1"/>
      <w:numFmt w:val="decimal"/>
      <w:lvlText w:val="%2."/>
      <w:lvlJc w:val="left"/>
      <w:pPr>
        <w:tabs>
          <w:tab w:val="left" w:pos="2760"/>
        </w:tabs>
        <w:ind w:left="2760" w:hanging="360"/>
      </w:pPr>
      <w:rPr>
        <w:rFonts w:hint="default"/>
      </w:rPr>
    </w:lvl>
    <w:lvl w:ilvl="2" w:tentative="1">
      <w:start w:val="1"/>
      <w:numFmt w:val="decimal"/>
      <w:lvlText w:val="%3)"/>
      <w:lvlJc w:val="left"/>
      <w:pPr>
        <w:ind w:left="3660" w:hanging="360"/>
      </w:pPr>
      <w:rPr>
        <w:rFonts w:hint="default"/>
        <w:b w:val="0"/>
      </w:rPr>
    </w:lvl>
    <w:lvl w:ilvl="3" w:tentative="1">
      <w:start w:val="1"/>
      <w:numFmt w:val="decimal"/>
      <w:lvlText w:val="%4."/>
      <w:lvlJc w:val="left"/>
      <w:pPr>
        <w:tabs>
          <w:tab w:val="left" w:pos="4200"/>
        </w:tabs>
        <w:ind w:left="4200" w:hanging="360"/>
      </w:pPr>
    </w:lvl>
    <w:lvl w:ilvl="4" w:tentative="1">
      <w:start w:val="1"/>
      <w:numFmt w:val="lowerLetter"/>
      <w:lvlText w:val="%5."/>
      <w:lvlJc w:val="left"/>
      <w:pPr>
        <w:tabs>
          <w:tab w:val="left" w:pos="4920"/>
        </w:tabs>
        <w:ind w:left="4920" w:hanging="360"/>
      </w:pPr>
    </w:lvl>
    <w:lvl w:ilvl="5" w:tentative="1">
      <w:start w:val="1"/>
      <w:numFmt w:val="lowerRoman"/>
      <w:lvlText w:val="%6."/>
      <w:lvlJc w:val="right"/>
      <w:pPr>
        <w:tabs>
          <w:tab w:val="left" w:pos="5640"/>
        </w:tabs>
        <w:ind w:left="5640" w:hanging="180"/>
      </w:pPr>
    </w:lvl>
    <w:lvl w:ilvl="6" w:tentative="1">
      <w:start w:val="1"/>
      <w:numFmt w:val="decimal"/>
      <w:lvlText w:val="%7."/>
      <w:lvlJc w:val="left"/>
      <w:pPr>
        <w:tabs>
          <w:tab w:val="left" w:pos="6360"/>
        </w:tabs>
        <w:ind w:left="6360" w:hanging="360"/>
      </w:pPr>
    </w:lvl>
    <w:lvl w:ilvl="7" w:tentative="1">
      <w:start w:val="1"/>
      <w:numFmt w:val="lowerLetter"/>
      <w:lvlText w:val="%8."/>
      <w:lvlJc w:val="left"/>
      <w:pPr>
        <w:tabs>
          <w:tab w:val="left" w:pos="7080"/>
        </w:tabs>
        <w:ind w:left="7080" w:hanging="360"/>
      </w:pPr>
    </w:lvl>
    <w:lvl w:ilvl="8" w:tentative="1">
      <w:start w:val="1"/>
      <w:numFmt w:val="lowerRoman"/>
      <w:lvlText w:val="%9."/>
      <w:lvlJc w:val="right"/>
      <w:pPr>
        <w:tabs>
          <w:tab w:val="left" w:pos="7800"/>
        </w:tabs>
        <w:ind w:left="7800" w:hanging="180"/>
      </w:pPr>
    </w:lvl>
  </w:abstractNum>
  <w:abstractNum w:abstractNumId="1583927545">
    <w:nsid w:val="5E68D0F9"/>
    <w:multiLevelType w:val="singleLevel"/>
    <w:tmpl w:val="5E68D0F9"/>
    <w:lvl w:ilvl="0" w:tentative="1">
      <w:start w:val="5"/>
      <w:numFmt w:val="decimal"/>
      <w:lvlText w:val="%1."/>
      <w:lvlJc w:val="left"/>
      <w:pPr>
        <w:tabs>
          <w:tab w:val="left" w:pos="425"/>
        </w:tabs>
        <w:ind w:left="425" w:leftChars="0" w:hanging="425" w:firstLineChars="0"/>
      </w:pPr>
      <w:rPr>
        <w:rFonts w:hint="default"/>
      </w:rPr>
    </w:lvl>
  </w:abstractNum>
  <w:abstractNum w:abstractNumId="1583928112">
    <w:nsid w:val="5E68D330"/>
    <w:multiLevelType w:val="multilevel"/>
    <w:tmpl w:val="5E68D330"/>
    <w:lvl w:ilvl="0" w:tentative="1">
      <w:start w:val="12"/>
      <w:numFmt w:val="decimal"/>
      <w:lvlText w:val="5.1.%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7649">
    <w:nsid w:val="5E68D161"/>
    <w:multiLevelType w:val="multilevel"/>
    <w:tmpl w:val="5E68D161"/>
    <w:lvl w:ilvl="0" w:tentative="1">
      <w:start w:val="1"/>
      <w:numFmt w:val="decimal"/>
      <w:lvlText w:val="5.1.%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858543539">
    <w:nsid w:val="6EC71FB3"/>
    <w:multiLevelType w:val="multilevel"/>
    <w:tmpl w:val="6EC71FB3"/>
    <w:lvl w:ilvl="0" w:tentative="1">
      <w:start w:val="1"/>
      <w:numFmt w:val="decimal"/>
      <w:lvlText w:val="%1."/>
      <w:lvlJc w:val="left"/>
      <w:pPr>
        <w:tabs>
          <w:tab w:val="left" w:pos="360"/>
        </w:tabs>
        <w:ind w:left="360" w:hanging="360"/>
      </w:pPr>
      <w:rPr>
        <w:rFonts w:cs="Times New Roman"/>
        <w:b/>
      </w:rPr>
    </w:lvl>
    <w:lvl w:ilvl="1" w:tentative="1">
      <w:start w:val="1"/>
      <w:numFmt w:val="decimal"/>
      <w:lvlText w:val="%1.%2."/>
      <w:lvlJc w:val="left"/>
      <w:pPr>
        <w:tabs>
          <w:tab w:val="left" w:pos="792"/>
        </w:tabs>
        <w:ind w:left="792" w:hanging="792"/>
      </w:pPr>
      <w:rPr>
        <w:rFonts w:cs="Times New Roman"/>
        <w:b w:val="0"/>
        <w:i w:val="0"/>
      </w:rPr>
    </w:lvl>
    <w:lvl w:ilvl="2" w:tentative="1">
      <w:start w:val="1"/>
      <w:numFmt w:val="decimal"/>
      <w:lvlText w:val="%1.%2.%3."/>
      <w:lvlJc w:val="left"/>
      <w:pPr>
        <w:tabs>
          <w:tab w:val="left" w:pos="1224"/>
        </w:tabs>
        <w:ind w:left="1224" w:hanging="1224"/>
      </w:pPr>
      <w:rPr>
        <w:rFonts w:cs="Times New Roman"/>
        <w:b w:val="0"/>
        <w:i w:val="0"/>
      </w:rPr>
    </w:lvl>
    <w:lvl w:ilvl="3" w:tentative="1">
      <w:start w:val="1"/>
      <w:numFmt w:val="lowerLetter"/>
      <w:lvlText w:val="%4)"/>
      <w:lvlJc w:val="left"/>
      <w:pPr>
        <w:tabs>
          <w:tab w:val="left" w:pos="1728"/>
        </w:tabs>
        <w:ind w:left="1728" w:hanging="1728"/>
      </w:pPr>
      <w:rPr>
        <w:rFonts w:ascii="Times New Roman" w:hAnsi="Times New Roman" w:eastAsia="Times New Roman" w:cs="Times New Roman"/>
        <w:b w:val="0"/>
      </w:rPr>
    </w:lvl>
    <w:lvl w:ilvl="4" w:tentative="1">
      <w:start w:val="1"/>
      <w:numFmt w:val="decimal"/>
      <w:lvlText w:val="%1.%2.%3.%4.%5."/>
      <w:lvlJc w:val="left"/>
      <w:pPr>
        <w:tabs>
          <w:tab w:val="left" w:pos="2232"/>
        </w:tabs>
        <w:ind w:left="2232" w:hanging="2232"/>
      </w:pPr>
      <w:rPr>
        <w:rFonts w:cs="Times New Roman"/>
      </w:rPr>
    </w:lvl>
    <w:lvl w:ilvl="5" w:tentative="1">
      <w:start w:val="1"/>
      <w:numFmt w:val="decimal"/>
      <w:lvlText w:val="%1.%2.%3.%4.%5.%6."/>
      <w:lvlJc w:val="left"/>
      <w:pPr>
        <w:tabs>
          <w:tab w:val="left" w:pos="2736"/>
        </w:tabs>
        <w:ind w:left="2736" w:hanging="2736"/>
      </w:pPr>
      <w:rPr>
        <w:rFonts w:cs="Times New Roman"/>
      </w:rPr>
    </w:lvl>
    <w:lvl w:ilvl="6" w:tentative="1">
      <w:start w:val="1"/>
      <w:numFmt w:val="decimal"/>
      <w:lvlText w:val="%1.%2.%3.%4.%5.%6.%7."/>
      <w:lvlJc w:val="left"/>
      <w:pPr>
        <w:tabs>
          <w:tab w:val="left" w:pos="3240"/>
        </w:tabs>
        <w:ind w:left="3240" w:hanging="3240"/>
      </w:pPr>
      <w:rPr>
        <w:rFonts w:cs="Times New Roman"/>
      </w:rPr>
    </w:lvl>
    <w:lvl w:ilvl="7" w:tentative="1">
      <w:start w:val="1"/>
      <w:numFmt w:val="decimal"/>
      <w:lvlText w:val="%1.%2.%3.%4.%5.%6.%7.%8."/>
      <w:lvlJc w:val="left"/>
      <w:pPr>
        <w:tabs>
          <w:tab w:val="left" w:pos="4320"/>
        </w:tabs>
        <w:ind w:left="3744" w:hanging="1224"/>
      </w:pPr>
      <w:rPr>
        <w:rFonts w:cs="Times New Roman"/>
      </w:rPr>
    </w:lvl>
    <w:lvl w:ilvl="8" w:tentative="1">
      <w:start w:val="1"/>
      <w:numFmt w:val="decimal"/>
      <w:lvlText w:val="%1.%2.%3.%4.%5.%6.%7.%8.%9."/>
      <w:lvlJc w:val="left"/>
      <w:pPr>
        <w:tabs>
          <w:tab w:val="left" w:pos="5040"/>
        </w:tabs>
        <w:ind w:left="4320" w:hanging="1440"/>
      </w:pPr>
      <w:rPr>
        <w:rFonts w:cs="Times New Roman"/>
      </w:rPr>
    </w:lvl>
  </w:abstractNum>
  <w:abstractNum w:abstractNumId="2">
    <w:nsid w:val="00000002"/>
    <w:multiLevelType w:val="multilevel"/>
    <w:tmpl w:val="00000002"/>
    <w:lvl w:ilvl="0" w:tentative="1">
      <w:start w:val="1"/>
      <w:numFmt w:val="decimal"/>
      <w:lvlText w:val="%1."/>
      <w:lvlJc w:val="left"/>
      <w:pPr>
        <w:tabs>
          <w:tab w:val="left" w:pos="0"/>
        </w:tabs>
        <w:ind w:left="360" w:hanging="360"/>
      </w:pPr>
      <w:rPr>
        <w:rFonts w:cs="Times New Roman"/>
      </w:rPr>
    </w:lvl>
    <w:lvl w:ilvl="1" w:tentative="1">
      <w:start w:val="1"/>
      <w:numFmt w:val="decimal"/>
      <w:isLgl/>
      <w:lvlText w:val="%1.%2."/>
      <w:lvlJc w:val="left"/>
      <w:pPr>
        <w:ind w:left="1152" w:hanging="540"/>
      </w:pPr>
      <w:rPr>
        <w:rFonts w:hint="default"/>
      </w:rPr>
    </w:lvl>
    <w:lvl w:ilvl="2" w:tentative="1">
      <w:start w:val="5"/>
      <w:numFmt w:val="decimal"/>
      <w:isLgl/>
      <w:lvlText w:val="%1.%2.%3."/>
      <w:lvlJc w:val="left"/>
      <w:pPr>
        <w:ind w:left="1944" w:hanging="720"/>
      </w:pPr>
      <w:rPr>
        <w:rFonts w:hint="default"/>
      </w:rPr>
    </w:lvl>
    <w:lvl w:ilvl="3" w:tentative="1">
      <w:start w:val="1"/>
      <w:numFmt w:val="decimal"/>
      <w:isLgl/>
      <w:lvlText w:val="%1.%2.%3.%4."/>
      <w:lvlJc w:val="left"/>
      <w:pPr>
        <w:ind w:left="2556" w:hanging="720"/>
      </w:pPr>
      <w:rPr>
        <w:rFonts w:hint="default"/>
      </w:rPr>
    </w:lvl>
    <w:lvl w:ilvl="4" w:tentative="1">
      <w:start w:val="1"/>
      <w:numFmt w:val="decimal"/>
      <w:isLgl/>
      <w:lvlText w:val="%1.%2.%3.%4.%5."/>
      <w:lvlJc w:val="left"/>
      <w:pPr>
        <w:ind w:left="3528" w:hanging="1080"/>
      </w:pPr>
      <w:rPr>
        <w:rFonts w:hint="default"/>
      </w:rPr>
    </w:lvl>
    <w:lvl w:ilvl="5" w:tentative="1">
      <w:start w:val="1"/>
      <w:numFmt w:val="decimal"/>
      <w:isLgl/>
      <w:lvlText w:val="%1.%2.%3.%4.%5.%6."/>
      <w:lvlJc w:val="left"/>
      <w:pPr>
        <w:ind w:left="4140" w:hanging="1080"/>
      </w:pPr>
      <w:rPr>
        <w:rFonts w:hint="default"/>
      </w:rPr>
    </w:lvl>
    <w:lvl w:ilvl="6" w:tentative="1">
      <w:start w:val="1"/>
      <w:numFmt w:val="decimal"/>
      <w:isLgl/>
      <w:lvlText w:val="%1.%2.%3.%4.%5.%6.%7."/>
      <w:lvlJc w:val="left"/>
      <w:pPr>
        <w:ind w:left="5112" w:hanging="1440"/>
      </w:pPr>
      <w:rPr>
        <w:rFonts w:hint="default"/>
      </w:rPr>
    </w:lvl>
    <w:lvl w:ilvl="7" w:tentative="1">
      <w:start w:val="1"/>
      <w:numFmt w:val="decimal"/>
      <w:isLgl/>
      <w:lvlText w:val="%1.%2.%3.%4.%5.%6.%7.%8."/>
      <w:lvlJc w:val="left"/>
      <w:pPr>
        <w:ind w:left="5724" w:hanging="1440"/>
      </w:pPr>
      <w:rPr>
        <w:rFonts w:hint="default"/>
      </w:rPr>
    </w:lvl>
    <w:lvl w:ilvl="8" w:tentative="1">
      <w:start w:val="1"/>
      <w:numFmt w:val="decimal"/>
      <w:isLgl/>
      <w:lvlText w:val="%1.%2.%3.%4.%5.%6.%7.%8.%9."/>
      <w:lvlJc w:val="left"/>
      <w:pPr>
        <w:ind w:left="6696" w:hanging="1800"/>
      </w:pPr>
      <w:rPr>
        <w:rFonts w:hint="default"/>
      </w:rPr>
    </w:lvl>
  </w:abstractNum>
  <w:abstractNum w:abstractNumId="1583928782">
    <w:nsid w:val="5E68D5CE"/>
    <w:multiLevelType w:val="singleLevel"/>
    <w:tmpl w:val="5E68D5CE"/>
    <w:lvl w:ilvl="0" w:tentative="1">
      <w:start w:val="7"/>
      <w:numFmt w:val="decimal"/>
      <w:lvlText w:val="%1."/>
      <w:lvlJc w:val="left"/>
      <w:pPr>
        <w:tabs>
          <w:tab w:val="left" w:pos="425"/>
        </w:tabs>
        <w:ind w:left="425" w:leftChars="0" w:hanging="425" w:firstLineChars="0"/>
      </w:pPr>
      <w:rPr>
        <w:rFonts w:hint="default"/>
      </w:rPr>
    </w:lvl>
  </w:abstractNum>
  <w:abstractNum w:abstractNumId="240914825">
    <w:nsid w:val="0E5C1189"/>
    <w:multiLevelType w:val="multilevel"/>
    <w:tmpl w:val="0E5C1189"/>
    <w:lvl w:ilvl="0" w:tentative="1">
      <w:start w:val="1"/>
      <w:numFmt w:val="decimal"/>
      <w:lvlText w:val="%1."/>
      <w:lvlJc w:val="left"/>
      <w:pPr>
        <w:tabs>
          <w:tab w:val="left" w:pos="851"/>
        </w:tabs>
        <w:ind w:left="851" w:hanging="851"/>
      </w:pPr>
      <w:rPr>
        <w:rFonts w:hint="default" w:ascii="Times New Roman" w:hAnsi="Times New Roman" w:cs="Times New Roman"/>
        <w:b w:val="0"/>
        <w:sz w:val="24"/>
        <w:szCs w:val="24"/>
      </w:rPr>
    </w:lvl>
    <w:lvl w:ilvl="1" w:tentative="1">
      <w:start w:val="1"/>
      <w:numFmt w:val="decimal"/>
      <w:pStyle w:val="9"/>
      <w:lvlText w:val="%1.%2."/>
      <w:lvlJc w:val="left"/>
      <w:pPr>
        <w:tabs>
          <w:tab w:val="left" w:pos="851"/>
        </w:tabs>
        <w:ind w:left="851" w:hanging="851"/>
      </w:pPr>
      <w:rPr>
        <w:rFonts w:hint="default" w:ascii="Times New Roman" w:hAnsi="Times New Roman" w:cs="Times New Roman"/>
        <w:b w:val="0"/>
        <w:color w:val="auto"/>
        <w:sz w:val="24"/>
        <w:szCs w:val="24"/>
      </w:rPr>
    </w:lvl>
    <w:lvl w:ilvl="2" w:tentative="1">
      <w:start w:val="1"/>
      <w:numFmt w:val="decimal"/>
      <w:lvlText w:val="%1.%2.%3."/>
      <w:lvlJc w:val="left"/>
      <w:pPr>
        <w:tabs>
          <w:tab w:val="left" w:pos="851"/>
        </w:tabs>
        <w:ind w:left="851" w:hanging="851"/>
      </w:pPr>
      <w:rPr>
        <w:rFonts w:hint="default" w:ascii="Times New Roman" w:hAnsi="Times New Roman" w:cs="Times New Roman"/>
        <w:b w:val="0"/>
        <w:i w:val="0"/>
        <w:sz w:val="24"/>
        <w:szCs w:val="24"/>
      </w:rPr>
    </w:lvl>
    <w:lvl w:ilvl="3" w:tentative="1">
      <w:start w:val="1"/>
      <w:numFmt w:val="decimal"/>
      <w:lvlText w:val="1.13.%4. "/>
      <w:lvlJc w:val="left"/>
      <w:pPr>
        <w:tabs>
          <w:tab w:val="left" w:pos="1135"/>
        </w:tabs>
        <w:ind w:left="1135" w:hanging="851"/>
      </w:pPr>
      <w:rPr>
        <w:rFonts w:hint="default" w:ascii="Times New Roman" w:hAnsi="Times New Roman" w:cs="Times New Roman"/>
        <w:b w:val="0"/>
        <w:i w:val="0"/>
        <w:sz w:val="24"/>
        <w:u w:val="none"/>
      </w:rPr>
    </w:lvl>
    <w:lvl w:ilvl="4" w:tentative="1">
      <w:start w:val="1"/>
      <w:numFmt w:val="decimal"/>
      <w:lvlText w:val="%1.%2.%3.%4.%5."/>
      <w:lvlJc w:val="left"/>
      <w:pPr>
        <w:tabs>
          <w:tab w:val="left" w:pos="5400"/>
        </w:tabs>
        <w:ind w:left="5400" w:hanging="1080"/>
      </w:pPr>
      <w:rPr>
        <w:rFonts w:hint="default"/>
      </w:rPr>
    </w:lvl>
    <w:lvl w:ilvl="5" w:tentative="1">
      <w:start w:val="1"/>
      <w:numFmt w:val="decimal"/>
      <w:lvlText w:val="%1.%2.%3.%4.%5.%6."/>
      <w:lvlJc w:val="left"/>
      <w:pPr>
        <w:tabs>
          <w:tab w:val="left" w:pos="6480"/>
        </w:tabs>
        <w:ind w:left="6480" w:hanging="1080"/>
      </w:pPr>
      <w:rPr>
        <w:rFonts w:hint="default"/>
      </w:rPr>
    </w:lvl>
    <w:lvl w:ilvl="6" w:tentative="1">
      <w:start w:val="1"/>
      <w:numFmt w:val="decimal"/>
      <w:lvlText w:val="%1.%2.%3.%4.%5.%6.%7."/>
      <w:lvlJc w:val="left"/>
      <w:pPr>
        <w:tabs>
          <w:tab w:val="left" w:pos="7920"/>
        </w:tabs>
        <w:ind w:left="7920" w:hanging="1440"/>
      </w:pPr>
      <w:rPr>
        <w:rFonts w:hint="default"/>
      </w:rPr>
    </w:lvl>
    <w:lvl w:ilvl="7" w:tentative="1">
      <w:start w:val="1"/>
      <w:numFmt w:val="decimal"/>
      <w:lvlText w:val="%1.%2.%3.%4.%5.%6.%7.%8."/>
      <w:lvlJc w:val="left"/>
      <w:pPr>
        <w:tabs>
          <w:tab w:val="left" w:pos="9000"/>
        </w:tabs>
        <w:ind w:left="9000" w:hanging="1440"/>
      </w:pPr>
      <w:rPr>
        <w:rFonts w:hint="default"/>
      </w:rPr>
    </w:lvl>
    <w:lvl w:ilvl="8" w:tentative="1">
      <w:start w:val="1"/>
      <w:numFmt w:val="decimal"/>
      <w:lvlText w:val="%1.%2.%3.%4.%5.%6.%7.%8.%9."/>
      <w:lvlJc w:val="left"/>
      <w:pPr>
        <w:tabs>
          <w:tab w:val="left" w:pos="10440"/>
        </w:tabs>
        <w:ind w:left="10440" w:hanging="1800"/>
      </w:pPr>
      <w:rPr>
        <w:rFonts w:hint="default"/>
      </w:rPr>
    </w:lvl>
  </w:abstractNum>
  <w:abstractNum w:abstractNumId="1583926863">
    <w:nsid w:val="5E68CE4F"/>
    <w:multiLevelType w:val="multilevel"/>
    <w:tmpl w:val="5E68CE4F"/>
    <w:lvl w:ilvl="0" w:tentative="1">
      <w:start w:val="1"/>
      <w:numFmt w:val="decimal"/>
      <w:lvlText w:val="4.%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8317">
    <w:nsid w:val="5E68D3FD"/>
    <w:multiLevelType w:val="multilevel"/>
    <w:tmpl w:val="5E68D3FD"/>
    <w:lvl w:ilvl="0" w:tentative="1">
      <w:start w:val="1"/>
      <w:numFmt w:val="decimal"/>
      <w:lvlText w:val="5.2.%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40701">
    <w:nsid w:val="5E69045D"/>
    <w:multiLevelType w:val="multilevel"/>
    <w:tmpl w:val="5E69045D"/>
    <w:lvl w:ilvl="0" w:tentative="1">
      <w:start w:val="4"/>
      <w:numFmt w:val="decimal"/>
      <w:lvlText w:val="5.%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6649">
    <w:nsid w:val="5E68CD79"/>
    <w:multiLevelType w:val="multilevel"/>
    <w:tmpl w:val="5E68CD79"/>
    <w:lvl w:ilvl="0" w:tentative="1">
      <w:start w:val="1"/>
      <w:numFmt w:val="decimal"/>
      <w:lvlText w:val="1.%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40515">
    <w:nsid w:val="5E6903A3"/>
    <w:multiLevelType w:val="multilevel"/>
    <w:tmpl w:val="5E6903A3"/>
    <w:lvl w:ilvl="0" w:tentative="1">
      <w:start w:val="1"/>
      <w:numFmt w:val="decimal"/>
      <w:lvlText w:val="5.3.%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0460">
    <w:nsid w:val="5E68B54C"/>
    <w:multiLevelType w:val="multilevel"/>
    <w:tmpl w:val="5E68B54C"/>
    <w:lvl w:ilvl="0" w:tentative="1">
      <w:start w:val="1"/>
      <w:numFmt w:val="decimal"/>
      <w:lvlText w:val="%1."/>
      <w:lvlJc w:val="left"/>
      <w:pPr>
        <w:tabs>
          <w:tab w:val="left" w:pos="425"/>
        </w:tabs>
        <w:ind w:left="425" w:leftChars="0" w:hanging="425" w:firstLineChars="0"/>
      </w:pPr>
      <w:rPr>
        <w:rFonts w:hint="default"/>
      </w:rPr>
    </w:lvl>
    <w:lvl w:ilvl="1" w:tentative="1">
      <w:start w:val="1"/>
      <w:numFmt w:val="none"/>
      <w:lvlText w:val="5.2.%1."/>
      <w:lvlJc w:val="left"/>
      <w:pPr>
        <w:tabs>
          <w:tab w:val="left" w:pos="567"/>
        </w:tabs>
        <w:ind w:left="567" w:leftChars="0" w:hanging="567" w:firstLineChars="0"/>
      </w:pPr>
      <w:rPr>
        <w:rFonts w:hint="default" w:ascii="Times New Roman" w:hAnsi="Times New Roman" w:eastAsia="SimSun" w:cs="SimSun"/>
        <w:sz w:val="24"/>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40466">
    <w:nsid w:val="5E690372"/>
    <w:multiLevelType w:val="multilevel"/>
    <w:tmpl w:val="5E690372"/>
    <w:lvl w:ilvl="0" w:tentative="1">
      <w:start w:val="3"/>
      <w:numFmt w:val="decimal"/>
      <w:lvlText w:val="5.%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6783">
    <w:nsid w:val="5E68CDFF"/>
    <w:multiLevelType w:val="multilevel"/>
    <w:tmpl w:val="5E68CDFF"/>
    <w:lvl w:ilvl="0" w:tentative="1">
      <w:start w:val="1"/>
      <w:numFmt w:val="decimal"/>
      <w:lvlText w:val="3.%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7596">
    <w:nsid w:val="5E68D12C"/>
    <w:multiLevelType w:val="multilevel"/>
    <w:tmpl w:val="5E68D12C"/>
    <w:lvl w:ilvl="0" w:tentative="1">
      <w:start w:val="1"/>
      <w:numFmt w:val="decimal"/>
      <w:lvlText w:val="5.%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8999">
    <w:nsid w:val="5E68D6A7"/>
    <w:multiLevelType w:val="multilevel"/>
    <w:tmpl w:val="5E68D6A7"/>
    <w:lvl w:ilvl="0" w:tentative="1">
      <w:start w:val="7"/>
      <w:numFmt w:val="decimal"/>
      <w:lvlText w:val="%1."/>
      <w:lvlJc w:val="left"/>
      <w:pPr>
        <w:tabs>
          <w:tab w:val="left" w:pos="360"/>
        </w:tabs>
        <w:ind w:left="360" w:hanging="360"/>
      </w:pPr>
      <w:rPr>
        <w:b/>
      </w:rPr>
    </w:lvl>
    <w:lvl w:ilvl="1" w:tentative="1">
      <w:start w:val="1"/>
      <w:numFmt w:val="decimal"/>
      <w:lvlText w:val="9.%2."/>
      <w:lvlJc w:val="left"/>
      <w:pPr>
        <w:tabs>
          <w:tab w:val="left" w:pos="360"/>
        </w:tabs>
        <w:ind w:left="360" w:hanging="360"/>
      </w:pPr>
      <w:rPr>
        <w:rFonts w:hint="default" w:ascii="Times New Roman" w:hAnsi="Times New Roman" w:eastAsia="SimSun" w:cs="SimSun"/>
        <w:b w:val="0"/>
        <w:sz w:val="24"/>
      </w:rPr>
    </w:lvl>
    <w:lvl w:ilvl="2" w:tentative="1">
      <w:start w:val="1"/>
      <w:numFmt w:val="decimal"/>
      <w:lvlText w:val="%1.%2.%3."/>
      <w:lvlJc w:val="left"/>
      <w:pPr>
        <w:tabs>
          <w:tab w:val="left" w:pos="720"/>
        </w:tabs>
        <w:ind w:left="720" w:hanging="720"/>
      </w:pPr>
    </w:lvl>
    <w:lvl w:ilvl="3" w:tentative="1">
      <w:start w:val="1"/>
      <w:numFmt w:val="decimal"/>
      <w:lvlText w:val="%1.%2.%3.%4."/>
      <w:lvlJc w:val="left"/>
      <w:pPr>
        <w:tabs>
          <w:tab w:val="left" w:pos="720"/>
        </w:tabs>
        <w:ind w:left="720" w:hanging="720"/>
      </w:pPr>
    </w:lvl>
    <w:lvl w:ilvl="4" w:tentative="1">
      <w:start w:val="1"/>
      <w:numFmt w:val="decimal"/>
      <w:lvlText w:val="%1.%2.%3.%4.%5."/>
      <w:lvlJc w:val="left"/>
      <w:pPr>
        <w:tabs>
          <w:tab w:val="left" w:pos="1080"/>
        </w:tabs>
        <w:ind w:left="1080" w:hanging="1080"/>
      </w:pPr>
    </w:lvl>
    <w:lvl w:ilvl="5" w:tentative="1">
      <w:start w:val="1"/>
      <w:numFmt w:val="decimal"/>
      <w:lvlText w:val="%1.%2.%3.%4.%5.%6."/>
      <w:lvlJc w:val="left"/>
      <w:pPr>
        <w:tabs>
          <w:tab w:val="left" w:pos="1080"/>
        </w:tabs>
        <w:ind w:left="1080" w:hanging="1080"/>
      </w:pPr>
    </w:lvl>
    <w:lvl w:ilvl="6" w:tentative="1">
      <w:start w:val="1"/>
      <w:numFmt w:val="decimal"/>
      <w:lvlText w:val="%1.%2.%3.%4.%5.%6.%7."/>
      <w:lvlJc w:val="left"/>
      <w:pPr>
        <w:tabs>
          <w:tab w:val="left" w:pos="1440"/>
        </w:tabs>
        <w:ind w:left="1440" w:hanging="1440"/>
      </w:pPr>
    </w:lvl>
    <w:lvl w:ilvl="7" w:tentative="1">
      <w:start w:val="1"/>
      <w:numFmt w:val="decimal"/>
      <w:lvlText w:val="%1.%2.%3.%4.%5.%6.%7.%8."/>
      <w:lvlJc w:val="left"/>
      <w:pPr>
        <w:tabs>
          <w:tab w:val="left" w:pos="1440"/>
        </w:tabs>
        <w:ind w:left="1440" w:hanging="1440"/>
      </w:pPr>
    </w:lvl>
    <w:lvl w:ilvl="8" w:tentative="1">
      <w:start w:val="1"/>
      <w:numFmt w:val="decimal"/>
      <w:lvlText w:val="%1.%2.%3.%4.%5.%6.%7.%8.%9."/>
      <w:lvlJc w:val="left"/>
      <w:pPr>
        <w:tabs>
          <w:tab w:val="left" w:pos="1800"/>
        </w:tabs>
        <w:ind w:left="1800" w:hanging="1800"/>
      </w:pPr>
    </w:lvl>
  </w:abstractNum>
  <w:abstractNum w:abstractNumId="1913157986">
    <w:nsid w:val="72087962"/>
    <w:multiLevelType w:val="multilevel"/>
    <w:tmpl w:val="72087962"/>
    <w:lvl w:ilvl="0" w:tentative="1">
      <w:start w:val="6"/>
      <w:numFmt w:val="decimal"/>
      <w:lvlText w:val="%1."/>
      <w:lvlJc w:val="left"/>
      <w:pPr>
        <w:ind w:left="360" w:hanging="360"/>
      </w:pPr>
      <w:rPr>
        <w:rFonts w:hint="default"/>
        <w:b w:val="0"/>
      </w:rPr>
    </w:lvl>
    <w:lvl w:ilvl="1" w:tentative="1">
      <w:start w:val="3"/>
      <w:numFmt w:val="decimal"/>
      <w:lvlText w:val="%1.%2."/>
      <w:lvlJc w:val="left"/>
      <w:pPr>
        <w:ind w:left="360" w:hanging="360"/>
      </w:pPr>
      <w:rPr>
        <w:rFonts w:hint="default"/>
        <w:b w:val="0"/>
      </w:rPr>
    </w:lvl>
    <w:lvl w:ilvl="2" w:tentative="1">
      <w:start w:val="1"/>
      <w:numFmt w:val="decimal"/>
      <w:lvlText w:val="%1.%2.%3."/>
      <w:lvlJc w:val="left"/>
      <w:pPr>
        <w:ind w:left="720" w:hanging="720"/>
      </w:pPr>
      <w:rPr>
        <w:rFonts w:hint="default"/>
        <w:b w:val="0"/>
      </w:rPr>
    </w:lvl>
    <w:lvl w:ilvl="3" w:tentative="1">
      <w:start w:val="1"/>
      <w:numFmt w:val="decimal"/>
      <w:lvlText w:val="%1.%2.%3.%4."/>
      <w:lvlJc w:val="left"/>
      <w:pPr>
        <w:ind w:left="720" w:hanging="720"/>
      </w:pPr>
      <w:rPr>
        <w:rFonts w:hint="default"/>
        <w:b w:val="0"/>
      </w:rPr>
    </w:lvl>
    <w:lvl w:ilvl="4" w:tentative="1">
      <w:start w:val="1"/>
      <w:numFmt w:val="decimal"/>
      <w:lvlText w:val="%1.%2.%3.%4.%5."/>
      <w:lvlJc w:val="left"/>
      <w:pPr>
        <w:ind w:left="1080" w:hanging="1080"/>
      </w:pPr>
      <w:rPr>
        <w:rFonts w:hint="default"/>
        <w:b w:val="0"/>
      </w:rPr>
    </w:lvl>
    <w:lvl w:ilvl="5" w:tentative="1">
      <w:start w:val="1"/>
      <w:numFmt w:val="decimal"/>
      <w:lvlText w:val="%1.%2.%3.%4.%5.%6."/>
      <w:lvlJc w:val="left"/>
      <w:pPr>
        <w:ind w:left="1080" w:hanging="1080"/>
      </w:pPr>
      <w:rPr>
        <w:rFonts w:hint="default"/>
        <w:b w:val="0"/>
      </w:rPr>
    </w:lvl>
    <w:lvl w:ilvl="6" w:tentative="1">
      <w:start w:val="1"/>
      <w:numFmt w:val="decimal"/>
      <w:lvlText w:val="%1.%2.%3.%4.%5.%6.%7."/>
      <w:lvlJc w:val="left"/>
      <w:pPr>
        <w:ind w:left="1440" w:hanging="1440"/>
      </w:pPr>
      <w:rPr>
        <w:rFonts w:hint="default"/>
        <w:b w:val="0"/>
      </w:rPr>
    </w:lvl>
    <w:lvl w:ilvl="7" w:tentative="1">
      <w:start w:val="1"/>
      <w:numFmt w:val="decimal"/>
      <w:lvlText w:val="%1.%2.%3.%4.%5.%6.%7.%8."/>
      <w:lvlJc w:val="left"/>
      <w:pPr>
        <w:ind w:left="1440" w:hanging="1440"/>
      </w:pPr>
      <w:rPr>
        <w:rFonts w:hint="default"/>
        <w:b w:val="0"/>
      </w:rPr>
    </w:lvl>
    <w:lvl w:ilvl="8" w:tentative="1">
      <w:start w:val="1"/>
      <w:numFmt w:val="decimal"/>
      <w:lvlText w:val="%1.%2.%3.%4.%5.%6.%7.%8.%9."/>
      <w:lvlJc w:val="left"/>
      <w:pPr>
        <w:ind w:left="1800" w:hanging="1800"/>
      </w:pPr>
      <w:rPr>
        <w:rFonts w:hint="default"/>
        <w:b w:val="0"/>
      </w:rPr>
    </w:lvl>
  </w:abstractNum>
  <w:abstractNum w:abstractNumId="1583920556">
    <w:nsid w:val="5E68B5AC"/>
    <w:multiLevelType w:val="multilevel"/>
    <w:tmpl w:val="5E68B5AC"/>
    <w:lvl w:ilvl="0" w:tentative="1">
      <w:start w:val="3"/>
      <w:numFmt w:val="decimal"/>
      <w:lvlText w:val="5.2.%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6960">
    <w:nsid w:val="5E68CEB0"/>
    <w:multiLevelType w:val="multilevel"/>
    <w:tmpl w:val="5E68CEB0"/>
    <w:lvl w:ilvl="0" w:tentative="1">
      <w:start w:val="1"/>
      <w:numFmt w:val="decimal"/>
      <w:lvlText w:val="4.1.%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9103">
    <w:nsid w:val="5E68D70F"/>
    <w:multiLevelType w:val="multilevel"/>
    <w:tmpl w:val="5E68D70F"/>
    <w:lvl w:ilvl="0" w:tentative="1">
      <w:start w:val="3"/>
      <w:numFmt w:val="decimal"/>
      <w:lvlText w:val="8.%1."/>
      <w:lvlJc w:val="left"/>
      <w:pPr>
        <w:tabs>
          <w:tab w:val="left" w:pos="425"/>
        </w:tabs>
        <w:ind w:left="425" w:leftChars="0" w:hanging="425" w:firstLineChars="0"/>
      </w:pPr>
      <w:rPr>
        <w:rFonts w:hint="default" w:ascii="Times New Roman" w:hAnsi="Times New Roman" w:eastAsia="SimSun" w:cs="SimSun"/>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6714">
    <w:nsid w:val="5E68CDBA"/>
    <w:multiLevelType w:val="multilevel"/>
    <w:tmpl w:val="5E68CDBA"/>
    <w:lvl w:ilvl="0" w:tentative="1">
      <w:start w:val="1"/>
      <w:numFmt w:val="decimal"/>
      <w:lvlText w:val="2.%1."/>
      <w:lvlJc w:val="left"/>
      <w:pPr>
        <w:tabs>
          <w:tab w:val="left" w:pos="425"/>
        </w:tabs>
        <w:ind w:left="425" w:leftChars="0" w:hanging="425" w:firstLineChars="0"/>
      </w:pPr>
      <w:rPr>
        <w:rFonts w:hint="default" w:ascii="Times New Roman" w:hAnsi="Times New Roman" w:eastAsia="SimSun" w:cs="SimSun"/>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9058">
    <w:nsid w:val="5E68D6E2"/>
    <w:multiLevelType w:val="multilevel"/>
    <w:tmpl w:val="5E68D6E2"/>
    <w:lvl w:ilvl="0" w:tentative="1">
      <w:start w:val="1"/>
      <w:numFmt w:val="decimal"/>
      <w:lvlText w:val="8.%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7066">
    <w:nsid w:val="5E68CF1A"/>
    <w:multiLevelType w:val="multilevel"/>
    <w:tmpl w:val="5E68CF1A"/>
    <w:lvl w:ilvl="0" w:tentative="1">
      <w:start w:val="2"/>
      <w:numFmt w:val="decimal"/>
      <w:lvlText w:val="4.%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8273">
    <w:nsid w:val="5E68D3D1"/>
    <w:multiLevelType w:val="multilevel"/>
    <w:tmpl w:val="5E68D3D1"/>
    <w:lvl w:ilvl="0" w:tentative="1">
      <w:start w:val="2"/>
      <w:numFmt w:val="decimal"/>
      <w:lvlText w:val="5.%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7108">
    <w:nsid w:val="5E68CF44"/>
    <w:multiLevelType w:val="multilevel"/>
    <w:tmpl w:val="5E68CF44"/>
    <w:lvl w:ilvl="0" w:tentative="1">
      <w:start w:val="1"/>
      <w:numFmt w:val="decimal"/>
      <w:lvlText w:val="4.2.%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0291">
    <w:nsid w:val="5E68DBB3"/>
    <w:multiLevelType w:val="singleLevel"/>
    <w:tmpl w:val="5E68DBB3"/>
    <w:lvl w:ilvl="0" w:tentative="1">
      <w:start w:val="1"/>
      <w:numFmt w:val="decimal"/>
      <w:suff w:val="nothing"/>
      <w:lvlText w:val="%1."/>
      <w:lvlJc w:val="left"/>
    </w:lvl>
  </w:abstractNum>
  <w:abstractNum w:abstractNumId="1187868668">
    <w:nsid w:val="46CD6FFC"/>
    <w:multiLevelType w:val="multilevel"/>
    <w:tmpl w:val="46CD6FFC"/>
    <w:lvl w:ilvl="0" w:tentative="1">
      <w:start w:val="1"/>
      <w:numFmt w:val="decimal"/>
      <w:lvlText w:val="%1."/>
      <w:lvlJc w:val="left"/>
      <w:pPr>
        <w:ind w:left="720" w:hanging="360"/>
      </w:pPr>
      <w:rPr>
        <w:b/>
      </w:rPr>
    </w:lvl>
    <w:lvl w:ilvl="1" w:tentative="1">
      <w:start w:val="1"/>
      <w:numFmt w:val="decimal"/>
      <w:isLgl/>
      <w:lvlText w:val="%1.%2."/>
      <w:lvlJc w:val="left"/>
      <w:pPr>
        <w:ind w:left="780" w:hanging="420"/>
      </w:pPr>
    </w:lvl>
    <w:lvl w:ilvl="2" w:tentative="1">
      <w:start w:val="1"/>
      <w:numFmt w:val="decimal"/>
      <w:isLgl/>
      <w:lvlText w:val="%1.%2.%3."/>
      <w:lvlJc w:val="left"/>
      <w:pPr>
        <w:ind w:left="1080" w:hanging="720"/>
      </w:pPr>
    </w:lvl>
    <w:lvl w:ilvl="3" w:tentative="1">
      <w:start w:val="1"/>
      <w:numFmt w:val="decimal"/>
      <w:isLgl/>
      <w:lvlText w:val="%1.%2.%3.%4."/>
      <w:lvlJc w:val="left"/>
      <w:pPr>
        <w:ind w:left="1080" w:hanging="720"/>
      </w:pPr>
    </w:lvl>
    <w:lvl w:ilvl="4" w:tentative="1">
      <w:start w:val="1"/>
      <w:numFmt w:val="decimal"/>
      <w:isLgl/>
      <w:lvlText w:val="%1.%2.%3.%4.%5."/>
      <w:lvlJc w:val="left"/>
      <w:pPr>
        <w:ind w:left="1440" w:hanging="1080"/>
      </w:pPr>
    </w:lvl>
    <w:lvl w:ilvl="5" w:tentative="1">
      <w:start w:val="1"/>
      <w:numFmt w:val="decimal"/>
      <w:isLgl/>
      <w:lvlText w:val="%1.%2.%3.%4.%5.%6."/>
      <w:lvlJc w:val="left"/>
      <w:pPr>
        <w:ind w:left="1440" w:hanging="1080"/>
      </w:pPr>
    </w:lvl>
    <w:lvl w:ilvl="6" w:tentative="1">
      <w:start w:val="1"/>
      <w:numFmt w:val="decimal"/>
      <w:isLgl/>
      <w:lvlText w:val="%1.%2.%3.%4.%5.%6.%7."/>
      <w:lvlJc w:val="left"/>
      <w:pPr>
        <w:ind w:left="1800" w:hanging="1440"/>
      </w:pPr>
    </w:lvl>
    <w:lvl w:ilvl="7" w:tentative="1">
      <w:start w:val="1"/>
      <w:numFmt w:val="decimal"/>
      <w:isLgl/>
      <w:lvlText w:val="%1.%2.%3.%4.%5.%6.%7.%8."/>
      <w:lvlJc w:val="left"/>
      <w:pPr>
        <w:ind w:left="1800" w:hanging="1440"/>
      </w:pPr>
    </w:lvl>
    <w:lvl w:ilvl="8" w:tentative="1">
      <w:start w:val="1"/>
      <w:numFmt w:val="decimal"/>
      <w:isLgl/>
      <w:lvlText w:val="%1.%2.%3.%4.%5.%6.%7.%8.%9."/>
      <w:lvlJc w:val="left"/>
      <w:pPr>
        <w:ind w:left="2160" w:hanging="1800"/>
      </w:pPr>
    </w:lvl>
  </w:abstractNum>
  <w:abstractNum w:abstractNumId="1583940639">
    <w:nsid w:val="5E69041F"/>
    <w:multiLevelType w:val="multilevel"/>
    <w:tmpl w:val="5E69041F"/>
    <w:lvl w:ilvl="0" w:tentative="1">
      <w:start w:val="18"/>
      <w:numFmt w:val="decimal"/>
      <w:lvlText w:val="5.3.%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609577798">
    <w:nsid w:val="5FF03546"/>
    <w:multiLevelType w:val="multilevel"/>
    <w:tmpl w:val="5FF03546"/>
    <w:lvl w:ilvl="0" w:tentative="1">
      <w:start w:val="1"/>
      <w:numFmt w:val="lowerLetter"/>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948703409">
    <w:nsid w:val="388C10B1"/>
    <w:multiLevelType w:val="multilevel"/>
    <w:tmpl w:val="388C10B1"/>
    <w:lvl w:ilvl="0" w:tentative="1">
      <w:start w:val="1"/>
      <w:numFmt w:val="lowerLetter"/>
      <w:lvlText w:val="%1)"/>
      <w:lvlJc w:val="left"/>
      <w:pPr>
        <w:ind w:left="720" w:hanging="360"/>
      </w:pPr>
      <w:rPr>
        <w:rFonts w:ascii="Times New Roman" w:hAnsi="Times New Roman" w:eastAsia="Times New Roman"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83940794">
    <w:nsid w:val="5E6904BA"/>
    <w:multiLevelType w:val="multilevel"/>
    <w:tmpl w:val="5E6904BA"/>
    <w:lvl w:ilvl="0" w:tentative="1">
      <w:start w:val="1"/>
      <w:numFmt w:val="decimal"/>
      <w:lvlText w:val="5.4.%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40874">
    <w:nsid w:val="5E69050A"/>
    <w:multiLevelType w:val="multilevel"/>
    <w:tmpl w:val="5E69050A"/>
    <w:lvl w:ilvl="0" w:tentative="1">
      <w:start w:val="5"/>
      <w:numFmt w:val="decimal"/>
      <w:lvlText w:val="5.%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3173">
    <w:nsid w:val="5E68E6F5"/>
    <w:multiLevelType w:val="multilevel"/>
    <w:tmpl w:val="5E68E6F5"/>
    <w:lvl w:ilvl="0" w:tentative="1">
      <w:start w:val="5"/>
      <w:numFmt w:val="decimal"/>
      <w:lvlText w:val="6.%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9520">
    <w:nsid w:val="5E68FFC0"/>
    <w:multiLevelType w:val="singleLevel"/>
    <w:tmpl w:val="5E68FFC0"/>
    <w:lvl w:ilvl="0" w:tentative="1">
      <w:start w:val="4"/>
      <w:numFmt w:val="decimal"/>
      <w:suff w:val="space"/>
      <w:lvlText w:val="%1."/>
      <w:lvlJc w:val="left"/>
    </w:lvl>
  </w:abstractNum>
  <w:abstractNum w:abstractNumId="1583939474">
    <w:nsid w:val="5E68FF92"/>
    <w:multiLevelType w:val="multilevel"/>
    <w:tmpl w:val="5E68FF92"/>
    <w:lvl w:ilvl="0" w:tentative="1">
      <w:start w:val="1"/>
      <w:numFmt w:val="decimal"/>
      <w:lvlText w:val="3.%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3029">
    <w:nsid w:val="5E68E665"/>
    <w:multiLevelType w:val="multilevel"/>
    <w:tmpl w:val="5E68E665"/>
    <w:lvl w:ilvl="0" w:tentative="1">
      <w:start w:val="1"/>
      <w:numFmt w:val="decimal"/>
      <w:lvlText w:val="6.4.%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9666">
    <w:nsid w:val="5E690052"/>
    <w:multiLevelType w:val="multilevel"/>
    <w:tmpl w:val="5E690052"/>
    <w:lvl w:ilvl="0" w:tentative="1">
      <w:start w:val="1"/>
      <w:numFmt w:val="decimal"/>
      <w:lvlText w:val="5.%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2855">
    <w:nsid w:val="5E68E5B7"/>
    <w:multiLevelType w:val="multilevel"/>
    <w:tmpl w:val="5E68E5B7"/>
    <w:lvl w:ilvl="0" w:tentative="1">
      <w:start w:val="1"/>
      <w:numFmt w:val="decimal"/>
      <w:lvlText w:val="6.3.2.%1."/>
      <w:lvlJc w:val="left"/>
      <w:pPr>
        <w:tabs>
          <w:tab w:val="left" w:pos="425"/>
        </w:tabs>
        <w:ind w:left="425" w:leftChars="0" w:hanging="425" w:firstLineChars="0"/>
      </w:pPr>
      <w:rPr>
        <w:rFonts w:hint="default" w:ascii="Times New Roman" w:hAnsi="Times New Roman" w:eastAsia="SimSun" w:cs="SimSun"/>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8712">
    <w:nsid w:val="5E68FC98"/>
    <w:multiLevelType w:val="multilevel"/>
    <w:tmpl w:val="5E68FC98"/>
    <w:lvl w:ilvl="0" w:tentative="1">
      <w:start w:val="1"/>
      <w:numFmt w:val="decimal"/>
      <w:lvlText w:val="7.%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406487854">
    <w:nsid w:val="53D54D2E"/>
    <w:multiLevelType w:val="multilevel"/>
    <w:tmpl w:val="53D54D2E"/>
    <w:lvl w:ilvl="0" w:tentative="1">
      <w:start w:val="8"/>
      <w:numFmt w:val="decimal"/>
      <w:lvlText w:val="%1."/>
      <w:lvlJc w:val="left"/>
      <w:pPr>
        <w:ind w:left="360" w:hanging="360"/>
      </w:pPr>
      <w:rPr>
        <w:b/>
      </w:rPr>
    </w:lvl>
    <w:lvl w:ilvl="1" w:tentative="1">
      <w:start w:val="1"/>
      <w:numFmt w:val="decimal"/>
      <w:lvlText w:val="%1.%2."/>
      <w:lvlJc w:val="left"/>
      <w:pPr>
        <w:ind w:left="644" w:hanging="360"/>
      </w:pPr>
      <w:rPr>
        <w:b w:val="0"/>
      </w:rPr>
    </w:lvl>
    <w:lvl w:ilvl="2" w:tentative="1">
      <w:start w:val="1"/>
      <w:numFmt w:val="decimal"/>
      <w:lvlText w:val="%3."/>
      <w:lvlJc w:val="left"/>
      <w:pPr>
        <w:ind w:left="720" w:hanging="720"/>
      </w:pPr>
      <w:rPr>
        <w:rFonts w:ascii="Times New Roman" w:hAnsi="Times New Roman" w:eastAsia="Times New Roman" w:cs="Times New Roman"/>
        <w:b w:val="0"/>
      </w:rPr>
    </w:lvl>
    <w:lvl w:ilvl="3" w:tentative="1">
      <w:start w:val="1"/>
      <w:numFmt w:val="decimal"/>
      <w:lvlText w:val="%1.%2.%3.%4."/>
      <w:lvlJc w:val="left"/>
      <w:pPr>
        <w:ind w:left="720" w:hanging="720"/>
      </w:pPr>
    </w:lvl>
    <w:lvl w:ilvl="4" w:tentative="1">
      <w:start w:val="1"/>
      <w:numFmt w:val="decimal"/>
      <w:lvlText w:val="%1.%2.%3.%4.%5."/>
      <w:lvlJc w:val="left"/>
      <w:pPr>
        <w:ind w:left="1080" w:hanging="1080"/>
      </w:pPr>
    </w:lvl>
    <w:lvl w:ilvl="5" w:tentative="1">
      <w:start w:val="1"/>
      <w:numFmt w:val="decimal"/>
      <w:lvlText w:val="%1.%2.%3.%4.%5.%6."/>
      <w:lvlJc w:val="left"/>
      <w:pPr>
        <w:ind w:left="1080" w:hanging="1080"/>
      </w:pPr>
    </w:lvl>
    <w:lvl w:ilvl="6" w:tentative="1">
      <w:start w:val="1"/>
      <w:numFmt w:val="decimal"/>
      <w:lvlText w:val="%1.%2.%3.%4.%5.%6.%7."/>
      <w:lvlJc w:val="left"/>
      <w:pPr>
        <w:ind w:left="1440" w:hanging="1440"/>
      </w:pPr>
    </w:lvl>
    <w:lvl w:ilvl="7" w:tentative="1">
      <w:start w:val="1"/>
      <w:numFmt w:val="decimal"/>
      <w:lvlText w:val="%1.%2.%3.%4.%5.%6.%7.%8."/>
      <w:lvlJc w:val="left"/>
      <w:pPr>
        <w:ind w:left="1440" w:hanging="1440"/>
      </w:pPr>
    </w:lvl>
    <w:lvl w:ilvl="8" w:tentative="1">
      <w:start w:val="1"/>
      <w:numFmt w:val="decimal"/>
      <w:lvlText w:val="%1.%2.%3.%4.%5.%6.%7.%8.%9."/>
      <w:lvlJc w:val="left"/>
      <w:pPr>
        <w:ind w:left="1800" w:hanging="1800"/>
      </w:pPr>
    </w:lvl>
  </w:abstractNum>
  <w:abstractNum w:abstractNumId="1583932540">
    <w:nsid w:val="5E68E47C"/>
    <w:multiLevelType w:val="multilevel"/>
    <w:tmpl w:val="5E68E47C"/>
    <w:lvl w:ilvl="0" w:tentative="1">
      <w:start w:val="1"/>
      <w:numFmt w:val="decimal"/>
      <w:lvlText w:val="6.3.%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492910735">
    <w:nsid w:val="58FC028F"/>
    <w:multiLevelType w:val="multilevel"/>
    <w:tmpl w:val="58FC028F"/>
    <w:lvl w:ilvl="0" w:tentative="1">
      <w:start w:val="1"/>
      <w:numFmt w:val="decimal"/>
      <w:lvlText w:val="%1."/>
      <w:lvlJc w:val="left"/>
      <w:pPr>
        <w:tabs>
          <w:tab w:val="left" w:pos="720"/>
        </w:tabs>
        <w:ind w:left="720" w:hanging="360"/>
      </w:pPr>
    </w:lvl>
    <w:lvl w:ilvl="1" w:tentative="1">
      <w:start w:val="1"/>
      <w:numFmt w:val="decimal"/>
      <w:isLgl/>
      <w:lvlText w:val="%1.%2."/>
      <w:lvlJc w:val="left"/>
      <w:pPr>
        <w:tabs>
          <w:tab w:val="left" w:pos="795"/>
        </w:tabs>
        <w:ind w:left="795" w:hanging="435"/>
      </w:pPr>
    </w:lvl>
    <w:lvl w:ilvl="2" w:tentative="1">
      <w:start w:val="1"/>
      <w:numFmt w:val="decimal"/>
      <w:isLgl/>
      <w:lvlText w:val="%1.%2.%3."/>
      <w:lvlJc w:val="left"/>
      <w:pPr>
        <w:tabs>
          <w:tab w:val="left" w:pos="1080"/>
        </w:tabs>
        <w:ind w:left="1080" w:hanging="720"/>
      </w:pPr>
    </w:lvl>
    <w:lvl w:ilvl="3" w:tentative="1">
      <w:start w:val="1"/>
      <w:numFmt w:val="decimal"/>
      <w:isLgl/>
      <w:lvlText w:val="%1.%2.%3.%4."/>
      <w:lvlJc w:val="left"/>
      <w:pPr>
        <w:tabs>
          <w:tab w:val="left" w:pos="1080"/>
        </w:tabs>
        <w:ind w:left="1080" w:hanging="720"/>
      </w:pPr>
    </w:lvl>
    <w:lvl w:ilvl="4" w:tentative="1">
      <w:start w:val="1"/>
      <w:numFmt w:val="decimal"/>
      <w:isLgl/>
      <w:lvlText w:val="%1.%2.%3.%4.%5."/>
      <w:lvlJc w:val="left"/>
      <w:pPr>
        <w:tabs>
          <w:tab w:val="left" w:pos="1440"/>
        </w:tabs>
        <w:ind w:left="1440" w:hanging="1080"/>
      </w:pPr>
    </w:lvl>
    <w:lvl w:ilvl="5" w:tentative="1">
      <w:start w:val="1"/>
      <w:numFmt w:val="decimal"/>
      <w:isLgl/>
      <w:lvlText w:val="%1.%2.%3.%4.%5.%6."/>
      <w:lvlJc w:val="left"/>
      <w:pPr>
        <w:tabs>
          <w:tab w:val="left" w:pos="1440"/>
        </w:tabs>
        <w:ind w:left="1440" w:hanging="1080"/>
      </w:pPr>
    </w:lvl>
    <w:lvl w:ilvl="6" w:tentative="1">
      <w:start w:val="1"/>
      <w:numFmt w:val="decimal"/>
      <w:isLgl/>
      <w:lvlText w:val="%1.%2.%3.%4.%5.%6.%7."/>
      <w:lvlJc w:val="left"/>
      <w:pPr>
        <w:tabs>
          <w:tab w:val="left" w:pos="1800"/>
        </w:tabs>
        <w:ind w:left="1800" w:hanging="1440"/>
      </w:pPr>
    </w:lvl>
    <w:lvl w:ilvl="7" w:tentative="1">
      <w:start w:val="1"/>
      <w:numFmt w:val="decimal"/>
      <w:isLgl/>
      <w:lvlText w:val="%1.%2.%3.%4.%5.%6.%7.%8."/>
      <w:lvlJc w:val="left"/>
      <w:pPr>
        <w:tabs>
          <w:tab w:val="left" w:pos="1800"/>
        </w:tabs>
        <w:ind w:left="1800" w:hanging="1440"/>
      </w:pPr>
    </w:lvl>
    <w:lvl w:ilvl="8" w:tentative="1">
      <w:start w:val="1"/>
      <w:numFmt w:val="decimal"/>
      <w:isLgl/>
      <w:lvlText w:val="%1.%2.%3.%4.%5.%6.%7.%8.%9."/>
      <w:lvlJc w:val="left"/>
      <w:pPr>
        <w:tabs>
          <w:tab w:val="left" w:pos="2160"/>
        </w:tabs>
        <w:ind w:left="2160" w:hanging="1800"/>
      </w:pPr>
    </w:lvl>
  </w:abstractNum>
  <w:abstractNum w:abstractNumId="1583932979">
    <w:nsid w:val="5E68E633"/>
    <w:multiLevelType w:val="multilevel"/>
    <w:tmpl w:val="5E68E633"/>
    <w:lvl w:ilvl="0" w:tentative="1">
      <w:start w:val="4"/>
      <w:numFmt w:val="decimal"/>
      <w:lvlText w:val="6.%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9464">
    <w:nsid w:val="5E68D878"/>
    <w:multiLevelType w:val="multilevel"/>
    <w:tmpl w:val="5E68D878"/>
    <w:lvl w:ilvl="0" w:tentative="1">
      <w:start w:val="1"/>
      <w:numFmt w:val="decimal"/>
      <w:lvlText w:val="9.10.%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833715588">
    <w:nsid w:val="31B17D84"/>
    <w:multiLevelType w:val="multilevel"/>
    <w:tmpl w:val="31B17D84"/>
    <w:lvl w:ilvl="0" w:tentative="1">
      <w:start w:val="1"/>
      <w:numFmt w:val="decimal"/>
      <w:lvlText w:val="%1."/>
      <w:lvlJc w:val="left"/>
      <w:pPr>
        <w:ind w:left="1080" w:hanging="360"/>
      </w:pPr>
      <w:rPr>
        <w:rFonts w:hint="default"/>
        <w:i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583939556">
    <w:nsid w:val="5E68FFE4"/>
    <w:multiLevelType w:val="multilevel"/>
    <w:tmpl w:val="5E68FFE4"/>
    <w:lvl w:ilvl="0" w:tentative="1">
      <w:start w:val="1"/>
      <w:numFmt w:val="decimal"/>
      <w:lvlText w:val="4.%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2302">
    <w:nsid w:val="5E68E38E"/>
    <w:multiLevelType w:val="multilevel"/>
    <w:tmpl w:val="5E68E38E"/>
    <w:lvl w:ilvl="0" w:tentative="1">
      <w:start w:val="1"/>
      <w:numFmt w:val="decimal"/>
      <w:lvlText w:val="6.%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9347">
    <w:nsid w:val="5E68FF13"/>
    <w:multiLevelType w:val="multilevel"/>
    <w:tmpl w:val="5E68FF13"/>
    <w:lvl w:ilvl="0" w:tentative="1">
      <w:start w:val="1"/>
      <w:numFmt w:val="decimal"/>
      <w:lvlText w:val="10.%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sz w:val="24"/>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8763">
    <w:nsid w:val="5E68FCCB"/>
    <w:multiLevelType w:val="multilevel"/>
    <w:tmpl w:val="5E68FCCB"/>
    <w:lvl w:ilvl="0" w:tentative="1">
      <w:start w:val="1"/>
      <w:numFmt w:val="decimal"/>
      <w:lvlText w:val="8.%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9017">
    <w:nsid w:val="5E68FDC9"/>
    <w:multiLevelType w:val="multilevel"/>
    <w:tmpl w:val="5E68FDC9"/>
    <w:lvl w:ilvl="0" w:tentative="1">
      <w:start w:val="1"/>
      <w:numFmt w:val="decimal"/>
      <w:lvlText w:val="10.%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9380">
    <w:nsid w:val="5E68FF34"/>
    <w:multiLevelType w:val="multilevel"/>
    <w:tmpl w:val="5E68FF34"/>
    <w:lvl w:ilvl="0" w:tentative="1">
      <w:start w:val="1"/>
      <w:numFmt w:val="decimal"/>
      <w:lvlText w:val="2.%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8821">
    <w:nsid w:val="5E68FD05"/>
    <w:multiLevelType w:val="multilevel"/>
    <w:tmpl w:val="5E68FD05"/>
    <w:lvl w:ilvl="0" w:tentative="1">
      <w:start w:val="1"/>
      <w:numFmt w:val="decimal"/>
      <w:lvlText w:val="9.%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5288">
    <w:nsid w:val="5E68EF38"/>
    <w:multiLevelType w:val="multilevel"/>
    <w:tmpl w:val="5E68EF38"/>
    <w:lvl w:ilvl="0" w:tentative="1">
      <w:start w:val="1"/>
      <w:numFmt w:val="decimal"/>
      <w:lvlText w:val="5.8.%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num w:numId="1">
    <w:abstractNumId w:val="240914825"/>
  </w:num>
  <w:num w:numId="2">
    <w:abstractNumId w:val="1583939347"/>
  </w:num>
  <w:num w:numId="3">
    <w:abstractNumId w:val="1583939380"/>
  </w:num>
  <w:num w:numId="4">
    <w:abstractNumId w:val="1583939474"/>
  </w:num>
  <w:num w:numId="5">
    <w:abstractNumId w:val="1583939520"/>
  </w:num>
  <w:num w:numId="6">
    <w:abstractNumId w:val="1583939556"/>
  </w:num>
  <w:num w:numId="7">
    <w:abstractNumId w:val="1583939666"/>
  </w:num>
  <w:num w:numId="8">
    <w:abstractNumId w:val="1583920460"/>
  </w:num>
  <w:num w:numId="9">
    <w:abstractNumId w:val="374157969"/>
  </w:num>
  <w:num w:numId="10">
    <w:abstractNumId w:val="1583920556"/>
  </w:num>
  <w:num w:numId="11">
    <w:abstractNumId w:val="1583940466"/>
  </w:num>
  <w:num w:numId="12">
    <w:abstractNumId w:val="1583940515"/>
  </w:num>
  <w:num w:numId="13">
    <w:abstractNumId w:val="1583940639"/>
  </w:num>
  <w:num w:numId="14">
    <w:abstractNumId w:val="1583940701"/>
  </w:num>
  <w:num w:numId="15">
    <w:abstractNumId w:val="1583940794"/>
  </w:num>
  <w:num w:numId="16">
    <w:abstractNumId w:val="1583940874"/>
  </w:num>
  <w:num w:numId="17">
    <w:abstractNumId w:val="1583935288"/>
  </w:num>
  <w:num w:numId="18">
    <w:abstractNumId w:val="1583932302"/>
  </w:num>
  <w:num w:numId="19">
    <w:abstractNumId w:val="1583932540"/>
  </w:num>
  <w:num w:numId="20">
    <w:abstractNumId w:val="1583932855"/>
  </w:num>
  <w:num w:numId="21">
    <w:abstractNumId w:val="1583932979"/>
  </w:num>
  <w:num w:numId="22">
    <w:abstractNumId w:val="1583933029"/>
  </w:num>
  <w:num w:numId="23">
    <w:abstractNumId w:val="1583933173"/>
  </w:num>
  <w:num w:numId="24">
    <w:abstractNumId w:val="1583938712"/>
  </w:num>
  <w:num w:numId="25">
    <w:abstractNumId w:val="1583938763"/>
  </w:num>
  <w:num w:numId="26">
    <w:abstractNumId w:val="1583938821"/>
  </w:num>
  <w:num w:numId="27">
    <w:abstractNumId w:val="1583939017"/>
  </w:num>
  <w:num w:numId="28">
    <w:abstractNumId w:val="833715588"/>
  </w:num>
  <w:num w:numId="29">
    <w:abstractNumId w:val="1492910735"/>
    <w:lvlOverride w:ilvl="0">
      <w:startOverride w:val="1"/>
    </w:lvlOverride>
  </w:num>
  <w:num w:numId="30">
    <w:abstractNumId w:val="1583930291"/>
  </w:num>
  <w:num w:numId="31">
    <w:abstractNumId w:val="1187868668"/>
    <w:lvlOverride w:ilvl="0">
      <w:startOverride w:val="1"/>
    </w:lvlOverride>
  </w:num>
  <w:num w:numId="32">
    <w:abstractNumId w:val="1609577798"/>
  </w:num>
  <w:num w:numId="33">
    <w:abstractNumId w:val="948703409"/>
  </w:num>
  <w:num w:numId="34">
    <w:abstractNumId w:val="1406487854"/>
  </w:num>
  <w:num w:numId="35">
    <w:abstractNumId w:val="2"/>
    <w:lvlOverride w:ilvl="0">
      <w:startOverride w:val="1"/>
    </w:lvlOverride>
  </w:num>
  <w:num w:numId="36">
    <w:abstractNumId w:val="1583926649"/>
  </w:num>
  <w:num w:numId="37">
    <w:abstractNumId w:val="1583926714"/>
  </w:num>
  <w:num w:numId="38">
    <w:abstractNumId w:val="1583926783"/>
  </w:num>
  <w:num w:numId="39">
    <w:abstractNumId w:val="1583926863"/>
  </w:num>
  <w:num w:numId="40">
    <w:abstractNumId w:val="1583926960"/>
  </w:num>
  <w:num w:numId="41">
    <w:abstractNumId w:val="1583927066"/>
  </w:num>
  <w:num w:numId="42">
    <w:abstractNumId w:val="1583927108"/>
  </w:num>
  <w:num w:numId="43">
    <w:abstractNumId w:val="1583927545"/>
  </w:num>
  <w:num w:numId="44">
    <w:abstractNumId w:val="1583927596"/>
  </w:num>
  <w:num w:numId="45">
    <w:abstractNumId w:val="1583927649"/>
  </w:num>
  <w:num w:numId="46">
    <w:abstractNumId w:val="1858543539"/>
  </w:num>
  <w:num w:numId="47">
    <w:abstractNumId w:val="1583928112"/>
  </w:num>
  <w:num w:numId="48">
    <w:abstractNumId w:val="1583928273"/>
  </w:num>
  <w:num w:numId="49">
    <w:abstractNumId w:val="1583928317"/>
  </w:num>
  <w:num w:numId="50">
    <w:abstractNumId w:val="1913157986"/>
  </w:num>
  <w:num w:numId="51">
    <w:abstractNumId w:val="1583928782"/>
  </w:num>
  <w:num w:numId="52">
    <w:abstractNumId w:val="1583929058"/>
  </w:num>
  <w:num w:numId="53">
    <w:abstractNumId w:val="1583929103"/>
  </w:num>
  <w:num w:numId="54">
    <w:abstractNumId w:val="1583928999"/>
  </w:num>
  <w:num w:numId="55">
    <w:abstractNumId w:val="15839294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720"/>
  <w:drawingGridHorizontalSpacing w:val="0"/>
  <w:displayHorizontalDrawingGridEvery w:val="1"/>
  <w:displayVerticalDrawingGridEvery w:val="1"/>
  <w:characterSpacingControl w:val="doNotCompress"/>
  <w:compat>
    <w:spaceForUL/>
    <w:doNotLeaveBackslashAlone/>
    <w:ulTrailSpace/>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0" w:name="header"/>
    <w:lsdException w:uiPriority="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160" w:line="259" w:lineRule="auto"/>
    </w:pPr>
    <w:rPr>
      <w:rFonts w:ascii="Times New Roman" w:hAnsi="Times New Roman" w:eastAsia="Calibri" w:cs="Times New Roman"/>
      <w:sz w:val="24"/>
      <w:szCs w:val="22"/>
      <w:lang w:val="en-US" w:eastAsia="en-US" w:bidi="ar-SA"/>
    </w:rPr>
  </w:style>
  <w:style w:type="character" w:default="1" w:styleId="6">
    <w:name w:val="Default Paragraph Font"/>
    <w:semiHidden/>
    <w:unhideWhenUsed/>
    <w:uiPriority w:val="1"/>
  </w:style>
  <w:style w:type="paragraph" w:styleId="2">
    <w:name w:val="Balloon Text"/>
    <w:basedOn w:val="1"/>
    <w:link w:val="12"/>
    <w:semiHidden/>
    <w:unhideWhenUsed/>
    <w:uiPriority w:val="99"/>
    <w:pPr>
      <w:spacing w:after="0" w:line="240" w:lineRule="auto"/>
    </w:pPr>
    <w:rPr>
      <w:rFonts w:ascii="Segoe UI" w:hAnsi="Segoe UI" w:cs="Segoe UI"/>
      <w:sz w:val="18"/>
      <w:szCs w:val="18"/>
    </w:rPr>
  </w:style>
  <w:style w:type="paragraph" w:styleId="3">
    <w:name w:val="footer"/>
    <w:basedOn w:val="1"/>
    <w:semiHidden/>
    <w:unhideWhenUsed/>
    <w:uiPriority w:val="0"/>
    <w:pPr>
      <w:tabs>
        <w:tab w:val="center" w:pos="4153"/>
        <w:tab w:val="right" w:pos="8306"/>
      </w:tabs>
      <w:snapToGrid w:val="0"/>
      <w:jc w:val="left"/>
    </w:pPr>
    <w:rPr>
      <w:sz w:val="18"/>
      <w:szCs w:val="18"/>
    </w:rPr>
  </w:style>
  <w:style w:type="paragraph" w:styleId="4">
    <w:name w:val="header"/>
    <w:basedOn w:val="1"/>
    <w:semiHidden/>
    <w:unhideWhenUsed/>
    <w:uiPriority w:val="0"/>
    <w:pPr>
      <w:tabs>
        <w:tab w:val="center" w:pos="4153"/>
        <w:tab w:val="right" w:pos="8306"/>
      </w:tabs>
      <w:snapToGrid w:val="0"/>
    </w:pPr>
    <w:rPr>
      <w:sz w:val="18"/>
      <w:szCs w:val="18"/>
    </w:rPr>
  </w:style>
  <w:style w:type="paragraph" w:styleId="5">
    <w:name w:val="HTML Preformatted"/>
    <w:basedOn w:val="1"/>
    <w:semiHidden/>
    <w:unhideWhenUsed/>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7">
    <w:name w:val="Hyperlink"/>
    <w:basedOn w:val="6"/>
    <w:unhideWhenUsed/>
    <w:uiPriority w:val="99"/>
    <w:rPr>
      <w:color w:val="0563C1"/>
      <w:u w:val="single"/>
    </w:rPr>
  </w:style>
  <w:style w:type="paragraph" w:customStyle="1" w:styleId="8">
    <w:name w:val="List Paragraph"/>
    <w:basedOn w:val="1"/>
    <w:qFormat/>
    <w:uiPriority w:val="34"/>
    <w:pPr>
      <w:ind w:left="720"/>
      <w:contextualSpacing/>
    </w:pPr>
  </w:style>
  <w:style w:type="paragraph" w:customStyle="1" w:styleId="9">
    <w:name w:val="Apakšpunkts"/>
    <w:basedOn w:val="1"/>
    <w:uiPriority w:val="0"/>
    <w:pPr>
      <w:numPr>
        <w:ilvl w:val="1"/>
        <w:numId w:val="1"/>
      </w:numPr>
    </w:pPr>
    <w:rPr>
      <w:rFonts w:ascii="Arial" w:hAnsi="Arial"/>
      <w:b/>
      <w:sz w:val="20"/>
    </w:rPr>
  </w:style>
  <w:style w:type="paragraph" w:customStyle="1" w:styleId="10">
    <w:name w:val="Rindkopa"/>
    <w:basedOn w:val="1"/>
    <w:next w:val="1"/>
    <w:uiPriority w:val="0"/>
    <w:pPr>
      <w:suppressAutoHyphens/>
      <w:ind w:left="851"/>
      <w:jc w:val="both"/>
    </w:pPr>
    <w:rPr>
      <w:rFonts w:ascii="Arial" w:hAnsi="Arial" w:eastAsia="Calibri" w:cs="Arial"/>
      <w:sz w:val="20"/>
      <w:lang w:eastAsia="zh-CN"/>
    </w:rPr>
  </w:style>
  <w:style w:type="paragraph" w:customStyle="1" w:styleId="11">
    <w:name w:val="Colorful List - Accent 11"/>
    <w:basedOn w:val="1"/>
    <w:qFormat/>
    <w:uiPriority w:val="0"/>
    <w:pPr>
      <w:suppressAutoHyphens/>
      <w:spacing w:after="200" w:line="276" w:lineRule="auto"/>
      <w:ind w:left="720"/>
    </w:pPr>
    <w:rPr>
      <w:rFonts w:eastAsia="Calibri"/>
      <w:kern w:val="22"/>
      <w:sz w:val="22"/>
      <w:szCs w:val="22"/>
      <w:lang w:eastAsia="ar-SA"/>
    </w:rPr>
  </w:style>
  <w:style w:type="character" w:customStyle="1" w:styleId="12">
    <w:name w:val="Balloon Text Char"/>
    <w:basedOn w:val="6"/>
    <w:link w:val="2"/>
    <w:semiHidden/>
    <w:uiPriority w:val="99"/>
    <w:rPr>
      <w:rFonts w:ascii="Segoe UI" w:hAnsi="Segoe UI" w:cs="Segoe UI"/>
      <w:sz w:val="18"/>
      <w:szCs w:val="18"/>
    </w:rPr>
  </w:style>
  <w:style w:type="character" w:customStyle="1" w:styleId="13">
    <w:name w:val="Unresolved Mention"/>
    <w:basedOn w:val="6"/>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17575</Words>
  <Characters>10019</Characters>
  <Lines>83</Lines>
  <Paragraphs>55</Paragraphs>
  <ScaleCrop>false</ScaleCrop>
  <LinksUpToDate>false</LinksUpToDate>
  <CharactersWithSpaces>0</CharactersWithSpaces>
  <Application>WPS Office_9.1.0.4759_{F1E327BC-269C-435d-A152-05C5408002CA}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2019-10-09T07:34:00Z</dcterms:created>
  <dc:creator>Jurists</dc:creator>
  <cp:lastModifiedBy>Stella</cp:lastModifiedBy>
  <cp:lastPrinted>2020-03-12T13:20:00Z</cp:lastPrinted>
  <dcterms:modified xsi:type="dcterms:W3CDTF">2020-06-25T07:45:53Z</dcterms:modified>
  <dc:title>APSTIPRINĀTS</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1033-9.1.0.4759</vt:lpwstr>
  </property>
</Properties>
</file>